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4" w:lineRule="exact"/>
        <w:jc w:val="center"/>
        <w:rPr>
          <w:rFonts w:hint="eastAsia" w:ascii="Times New Roman" w:hAnsi="Times New Roman" w:eastAsia="方正小标宋简体" w:cs="Times New Roman"/>
          <w:sz w:val="44"/>
          <w:szCs w:val="44"/>
          <w:lang w:eastAsia="zh-CN"/>
        </w:rPr>
      </w:pPr>
      <w:bookmarkStart w:id="10" w:name="_GoBack"/>
      <w:bookmarkEnd w:id="10"/>
      <w:r>
        <w:rPr>
          <w:rFonts w:ascii="Times New Roman" w:hAnsi="Times New Roman" w:eastAsia="方正小标宋简体" w:cs="Times New Roman"/>
          <w:sz w:val="44"/>
          <w:szCs w:val="44"/>
        </w:rPr>
        <w:t>廊坊市</w:t>
      </w:r>
      <w:r>
        <w:rPr>
          <w:rFonts w:hint="eastAsia" w:ascii="Times New Roman" w:hAnsi="Times New Roman" w:eastAsia="方正小标宋简体" w:cs="Times New Roman"/>
          <w:sz w:val="44"/>
          <w:szCs w:val="44"/>
          <w:lang w:eastAsia="zh-CN"/>
        </w:rPr>
        <w:t>中医医院</w:t>
      </w:r>
      <w:r>
        <w:rPr>
          <w:rFonts w:ascii="Times New Roman" w:hAnsi="Times New Roman" w:eastAsia="方正小标宋简体" w:cs="Times New Roman"/>
          <w:sz w:val="44"/>
          <w:szCs w:val="44"/>
        </w:rPr>
        <w:t>20</w:t>
      </w:r>
      <w:r>
        <w:rPr>
          <w:rFonts w:hint="eastAsia" w:ascii="Times New Roman" w:hAnsi="Times New Roman" w:eastAsia="方正小标宋简体" w:cs="Times New Roman"/>
          <w:sz w:val="44"/>
          <w:szCs w:val="44"/>
        </w:rPr>
        <w:t>21</w:t>
      </w:r>
      <w:r>
        <w:rPr>
          <w:rFonts w:ascii="Times New Roman" w:hAnsi="Times New Roman" w:eastAsia="方正小标宋简体" w:cs="Times New Roman"/>
          <w:sz w:val="44"/>
          <w:szCs w:val="44"/>
        </w:rPr>
        <w:t>年</w:t>
      </w:r>
      <w:r>
        <w:rPr>
          <w:rFonts w:hint="eastAsia" w:ascii="Times New Roman" w:hAnsi="Times New Roman" w:eastAsia="方正小标宋简体" w:cs="Times New Roman"/>
          <w:sz w:val="44"/>
          <w:szCs w:val="44"/>
          <w:lang w:eastAsia="zh-CN"/>
        </w:rPr>
        <w:t>部门</w:t>
      </w:r>
      <w:r>
        <w:rPr>
          <w:rFonts w:ascii="Times New Roman" w:hAnsi="Times New Roman" w:eastAsia="方正小标宋简体" w:cs="Times New Roman"/>
          <w:sz w:val="44"/>
          <w:szCs w:val="44"/>
        </w:rPr>
        <w:t>预算信息公开</w:t>
      </w:r>
      <w:r>
        <w:rPr>
          <w:rFonts w:hint="eastAsia" w:ascii="Times New Roman" w:hAnsi="Times New Roman" w:eastAsia="方正小标宋简体" w:cs="Times New Roman"/>
          <w:sz w:val="44"/>
          <w:szCs w:val="44"/>
        </w:rPr>
        <w:t>情况说</w:t>
      </w:r>
      <w:r>
        <w:rPr>
          <w:rFonts w:hint="eastAsia" w:ascii="Times New Roman" w:hAnsi="Times New Roman" w:eastAsia="方正小标宋简体" w:cs="Times New Roman"/>
          <w:sz w:val="44"/>
          <w:szCs w:val="44"/>
          <w:lang w:eastAsia="zh-CN"/>
        </w:rPr>
        <w:t>明</w:t>
      </w:r>
    </w:p>
    <w:p>
      <w:pPr>
        <w:spacing w:line="584" w:lineRule="exact"/>
        <w:ind w:firstLine="880" w:firstLineChars="200"/>
        <w:jc w:val="center"/>
        <w:rPr>
          <w:rFonts w:ascii="Times New Roman" w:hAnsi="Times New Roman" w:eastAsia="仿宋_GB2312" w:cs="Times New Roman"/>
          <w:sz w:val="44"/>
          <w:szCs w:val="44"/>
        </w:rPr>
      </w:pP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按照《中华人民共和国预算法》、《中华人民共和国预算法实施条例》、《地方预决算公开操作规程》和《河北省省级预算公开办法》规定，现将廊坊市</w:t>
      </w:r>
      <w:r>
        <w:rPr>
          <w:rFonts w:hint="eastAsia" w:ascii="Times New Roman" w:hAnsi="Times New Roman" w:eastAsia="仿宋_GB2312" w:cs="Times New Roman"/>
          <w:sz w:val="32"/>
          <w:szCs w:val="32"/>
          <w:lang w:eastAsia="zh-CN"/>
        </w:rPr>
        <w:t>中医医院</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年部门预算公开如下：</w:t>
      </w:r>
    </w:p>
    <w:p>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一、部门职责及机构设置情况</w:t>
      </w:r>
    </w:p>
    <w:p>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pPr>
        <w:ind w:firstLine="640" w:firstLineChars="200"/>
        <w:rPr>
          <w:rFonts w:hint="eastAsia" w:ascii="华文仿宋" w:hAnsi="华文仿宋" w:eastAsia="华文仿宋" w:cs="华文仿宋"/>
          <w:b w:val="0"/>
          <w:bCs w:val="0"/>
          <w:color w:val="000000" w:themeColor="text1"/>
          <w:sz w:val="32"/>
          <w:szCs w:val="32"/>
          <w:lang w:eastAsia="zh-CN"/>
          <w14:textFill>
            <w14:solidFill>
              <w14:schemeClr w14:val="tx1"/>
            </w14:solidFill>
          </w14:textFill>
        </w:rPr>
      </w:pPr>
      <w:r>
        <w:rPr>
          <w:rFonts w:hint="eastAsia" w:ascii="仿宋_GB2312" w:eastAsia="仿宋_GB2312"/>
          <w:color w:val="000000"/>
          <w:sz w:val="32"/>
          <w:szCs w:val="32"/>
          <w:lang w:eastAsia="zh-CN"/>
        </w:rPr>
        <w:t>（一）</w:t>
      </w:r>
      <w:r>
        <w:rPr>
          <w:rFonts w:hint="eastAsia" w:ascii="仿宋_GB2312" w:eastAsia="仿宋_GB2312"/>
          <w:color w:val="000000"/>
          <w:sz w:val="32"/>
          <w:szCs w:val="32"/>
        </w:rPr>
        <w:t>公共卫生服务，公共卫生服务是关系到人民大众健康的公共事业，包括对重大疾病的预防、监控和医治，对突发公共事件的卫生应急处置，对食品、药品、公共环境卫生的监督管制，推进基本公共卫生服务均等化；控制各类重大疾病的发生与传播；有效应对</w:t>
      </w:r>
      <w:r>
        <w:rPr>
          <w:rFonts w:hint="eastAsia" w:ascii="仿宋_GB2312" w:eastAsia="仿宋_GB2312"/>
          <w:color w:val="000000"/>
          <w:sz w:val="32"/>
          <w:szCs w:val="32"/>
          <w:lang w:eastAsia="zh-CN"/>
        </w:rPr>
        <w:t>我市</w:t>
      </w:r>
      <w:r>
        <w:rPr>
          <w:rFonts w:hint="eastAsia" w:ascii="仿宋_GB2312" w:eastAsia="仿宋_GB2312"/>
          <w:color w:val="000000"/>
          <w:sz w:val="32"/>
          <w:szCs w:val="32"/>
        </w:rPr>
        <w:t>突发公共卫生事件</w:t>
      </w:r>
      <w:r>
        <w:rPr>
          <w:rFonts w:hint="eastAsia" w:ascii="仿宋_GB2312" w:eastAsia="仿宋_GB2312"/>
          <w:color w:val="000000"/>
          <w:sz w:val="32"/>
          <w:szCs w:val="32"/>
          <w:lang w:eastAsia="zh-CN"/>
        </w:rPr>
        <w:t>。</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承担</w:t>
      </w:r>
      <w:r>
        <w:rPr>
          <w:rFonts w:hint="eastAsia" w:ascii="华文仿宋" w:hAnsi="华文仿宋" w:eastAsia="华文仿宋" w:cs="华文仿宋"/>
          <w:b w:val="0"/>
          <w:bCs w:val="0"/>
          <w:color w:val="000000" w:themeColor="text1"/>
          <w:sz w:val="32"/>
          <w:szCs w:val="32"/>
          <w14:textFill>
            <w14:solidFill>
              <w14:schemeClr w14:val="tx1"/>
            </w14:solidFill>
          </w14:textFill>
        </w:rPr>
        <w:t>援疆、援藏、</w:t>
      </w:r>
      <w:r>
        <w:rPr>
          <w:rFonts w:hint="eastAsia" w:ascii="华文仿宋" w:hAnsi="华文仿宋" w:eastAsia="华文仿宋" w:cs="华文仿宋"/>
          <w:b w:val="0"/>
          <w:bCs w:val="0"/>
          <w:color w:val="000000" w:themeColor="text1"/>
          <w:sz w:val="32"/>
          <w:szCs w:val="32"/>
          <w:lang w:eastAsia="zh-CN"/>
          <w14:textFill>
            <w14:solidFill>
              <w14:schemeClr w14:val="tx1"/>
            </w14:solidFill>
          </w14:textFill>
        </w:rPr>
        <w:t>对口</w:t>
      </w:r>
      <w:r>
        <w:rPr>
          <w:rFonts w:hint="eastAsia" w:ascii="华文仿宋" w:hAnsi="华文仿宋" w:eastAsia="华文仿宋" w:cs="华文仿宋"/>
          <w:b w:val="0"/>
          <w:bCs w:val="0"/>
          <w:color w:val="000000" w:themeColor="text1"/>
          <w:sz w:val="32"/>
          <w:szCs w:val="32"/>
          <w14:textFill>
            <w14:solidFill>
              <w14:schemeClr w14:val="tx1"/>
            </w14:solidFill>
          </w14:textFill>
        </w:rPr>
        <w:t>支援</w:t>
      </w:r>
      <w:r>
        <w:rPr>
          <w:rFonts w:hint="eastAsia" w:ascii="华文仿宋" w:hAnsi="华文仿宋" w:eastAsia="华文仿宋" w:cs="华文仿宋"/>
          <w:b w:val="0"/>
          <w:bCs w:val="0"/>
          <w:color w:val="000000" w:themeColor="text1"/>
          <w:sz w:val="32"/>
          <w:szCs w:val="32"/>
          <w:lang w:eastAsia="zh-CN"/>
          <w14:textFill>
            <w14:solidFill>
              <w14:schemeClr w14:val="tx1"/>
            </w14:solidFill>
          </w14:textFill>
        </w:rPr>
        <w:t>县级医院等工作；</w:t>
      </w:r>
    </w:p>
    <w:p>
      <w:pPr>
        <w:numPr>
          <w:ilvl w:val="0"/>
          <w:numId w:val="0"/>
        </w:numPr>
        <w:spacing w:line="500" w:lineRule="exact"/>
        <w:jc w:val="left"/>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pPr>
      <w:r>
        <w:rPr>
          <w:rFonts w:hint="eastAsia" w:ascii="仿宋_GB2312" w:eastAsia="仿宋_GB2312"/>
          <w:color w:val="000000"/>
          <w:sz w:val="32"/>
          <w:szCs w:val="32"/>
        </w:rPr>
        <w:t xml:space="preserve">   （二）</w:t>
      </w:r>
      <w:r>
        <w:rPr>
          <w:rFonts w:hint="eastAsia" w:eastAsia="仿宋_GB2312"/>
          <w:color w:val="000000"/>
          <w:sz w:val="32"/>
          <w:szCs w:val="32"/>
        </w:rPr>
        <w:t> </w:t>
      </w:r>
      <w:r>
        <w:rPr>
          <w:rFonts w:hint="eastAsia" w:ascii="仿宋_GB2312" w:eastAsia="仿宋_GB2312"/>
          <w:color w:val="000000"/>
          <w:sz w:val="32"/>
          <w:szCs w:val="32"/>
        </w:rPr>
        <w:t>医疗服务，</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针对不同类型的疾病提供预防、检查、诊断、治疗和康复等各类医疗服务，健全我市医疗机构和医疗服务全行业管理制度，开展医学专科建设和医疗惠民工程等各类医疗服务工作；</w:t>
      </w:r>
    </w:p>
    <w:p>
      <w:pPr>
        <w:numPr>
          <w:ilvl w:val="0"/>
          <w:numId w:val="0"/>
        </w:numPr>
        <w:spacing w:line="500" w:lineRule="exact"/>
        <w:jc w:val="left"/>
        <w:rPr>
          <w:rFonts w:hint="eastAsia" w:ascii="仿宋_GB2312" w:hAnsi="仿宋_GB2312" w:eastAsia="仿宋_GB2312" w:cs="仿宋_GB2312"/>
          <w:sz w:val="32"/>
          <w:szCs w:val="32"/>
        </w:rPr>
      </w:pPr>
      <w:r>
        <w:rPr>
          <w:rFonts w:hint="eastAsia" w:eastAsia="仿宋_GB2312"/>
          <w:color w:val="000000"/>
          <w:sz w:val="32"/>
          <w:szCs w:val="32"/>
        </w:rPr>
        <w:t>   </w:t>
      </w: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（三）</w:t>
      </w:r>
      <w:r>
        <w:rPr>
          <w:rFonts w:hint="eastAsia" w:eastAsia="仿宋_GB2312"/>
          <w:color w:val="000000"/>
          <w:sz w:val="32"/>
          <w:szCs w:val="32"/>
        </w:rPr>
        <w:t> </w:t>
      </w:r>
      <w:r>
        <w:rPr>
          <w:rFonts w:hint="eastAsia" w:ascii="仿宋_GB2312" w:eastAsia="仿宋_GB2312"/>
          <w:color w:val="000000"/>
          <w:sz w:val="32"/>
          <w:szCs w:val="32"/>
        </w:rPr>
        <w:t>中医药管理，开展中医药专科建设，培</w:t>
      </w:r>
      <w:r>
        <w:rPr>
          <w:rFonts w:hint="eastAsia" w:ascii="仿宋_GB2312" w:eastAsia="仿宋_GB2312"/>
          <w:color w:val="000000"/>
          <w:sz w:val="32"/>
          <w:szCs w:val="32"/>
          <w:lang w:eastAsia="zh-CN"/>
        </w:rPr>
        <w:t>养</w:t>
      </w:r>
      <w:r>
        <w:rPr>
          <w:rFonts w:hint="eastAsia" w:ascii="仿宋_GB2312" w:eastAsia="仿宋_GB2312"/>
          <w:color w:val="000000"/>
          <w:sz w:val="32"/>
          <w:szCs w:val="32"/>
        </w:rPr>
        <w:t>中医药人才，建立中医药知识，推广中医药文化。加强中医药能力建设，提高中医药人员服务水平，有效发挥中医药在医疗保健领域的特色优势。</w:t>
      </w:r>
      <w:r>
        <w:rPr>
          <w:rFonts w:hint="eastAsia" w:ascii="仿宋_GB2312" w:eastAsia="仿宋_GB2312"/>
          <w:color w:val="000000"/>
          <w:sz w:val="32"/>
          <w:szCs w:val="32"/>
        </w:rPr>
        <w:br w:type="textWrapping"/>
      </w:r>
      <w:r>
        <w:rPr>
          <w:rFonts w:hint="eastAsia" w:ascii="仿宋_GB2312" w:eastAsia="仿宋_GB2312"/>
          <w:color w:val="000000"/>
          <w:sz w:val="32"/>
          <w:szCs w:val="32"/>
          <w:lang w:val="en-US" w:eastAsia="zh-CN"/>
        </w:rPr>
        <w:t xml:space="preserve">  </w:t>
      </w:r>
    </w:p>
    <w:p>
      <w:pPr>
        <w:spacing w:line="584" w:lineRule="exact"/>
        <w:ind w:firstLine="643" w:firstLineChars="200"/>
        <w:rPr>
          <w:rFonts w:hint="eastAsia" w:ascii="仿宋_GB2312" w:hAnsi="仿宋_GB2312" w:eastAsia="仿宋_GB2312" w:cs="仿宋_GB2312"/>
          <w:b/>
          <w:sz w:val="32"/>
          <w:szCs w:val="32"/>
        </w:rPr>
      </w:pPr>
    </w:p>
    <w:p>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4"/>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tc>
        <w:tc>
          <w:tcPr>
            <w:tcW w:w="1134" w:type="dxa"/>
            <w:vMerge w:val="continue"/>
            <w:shd w:val="clear" w:color="auto" w:fill="auto"/>
            <w:vAlign w:val="center"/>
          </w:tcPr>
          <w:p/>
        </w:tc>
        <w:tc>
          <w:tcPr>
            <w:tcW w:w="1276" w:type="dxa"/>
            <w:vMerge w:val="continue"/>
            <w:shd w:val="clear" w:color="auto" w:fill="auto"/>
            <w:vAlign w:val="center"/>
          </w:tcPr>
          <w:p/>
        </w:tc>
        <w:tc>
          <w:tcPr>
            <w:tcW w:w="2902" w:type="dxa"/>
            <w:vMerge w:val="continue"/>
            <w:shd w:val="clear" w:color="auto" w:fill="auto"/>
            <w:vAlign w:val="center"/>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pPr>
              <w:spacing w:line="584" w:lineRule="exact"/>
              <w:jc w:val="center"/>
              <w:rPr>
                <w:rFonts w:hint="eastAsia"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lang w:eastAsia="zh-CN"/>
              </w:rPr>
              <w:t>廊坊市中医医院</w:t>
            </w:r>
          </w:p>
        </w:tc>
        <w:tc>
          <w:tcPr>
            <w:tcW w:w="1134" w:type="dxa"/>
            <w:shd w:val="clear" w:color="auto" w:fill="auto"/>
            <w:vAlign w:val="center"/>
          </w:tcPr>
          <w:p>
            <w:pPr>
              <w:spacing w:line="584" w:lineRule="exact"/>
              <w:jc w:val="center"/>
              <w:rPr>
                <w:rFonts w:hint="eastAsia"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lang w:eastAsia="zh-CN"/>
              </w:rPr>
              <w:t>事业单位</w:t>
            </w:r>
          </w:p>
        </w:tc>
        <w:tc>
          <w:tcPr>
            <w:tcW w:w="1276" w:type="dxa"/>
            <w:shd w:val="clear" w:color="auto" w:fill="auto"/>
            <w:vAlign w:val="center"/>
          </w:tcPr>
          <w:p>
            <w:pPr>
              <w:spacing w:line="584" w:lineRule="exact"/>
              <w:jc w:val="center"/>
              <w:rPr>
                <w:rFonts w:hint="eastAsia"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lang w:eastAsia="zh-CN"/>
              </w:rPr>
              <w:t>正处级</w:t>
            </w:r>
          </w:p>
        </w:tc>
        <w:tc>
          <w:tcPr>
            <w:tcW w:w="2902" w:type="dxa"/>
            <w:shd w:val="clear" w:color="auto" w:fill="auto"/>
            <w:vAlign w:val="center"/>
          </w:tcPr>
          <w:p>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财政性资金定额或定向补助</w:t>
            </w:r>
          </w:p>
          <w:p>
            <w:pPr>
              <w:spacing w:line="584" w:lineRule="exact"/>
              <w:jc w:val="center"/>
              <w:rPr>
                <w:rFonts w:hint="eastAsia"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lang w:eastAsia="zh-CN"/>
              </w:rPr>
              <w:t>（差额事业）</w:t>
            </w:r>
          </w:p>
        </w:tc>
      </w:tr>
    </w:tbl>
    <w:p>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二、部门预算安排的总体情况</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按照预算管理有关规定，目前我市部门预算的编制实行综合预算制度，即全部收入和支出都反映在预算中。廊坊市</w:t>
      </w:r>
      <w:r>
        <w:rPr>
          <w:rFonts w:hint="eastAsia" w:ascii="Times New Roman" w:hAnsi="Times New Roman" w:eastAsia="仿宋_GB2312" w:cs="Times New Roman"/>
          <w:sz w:val="32"/>
          <w:szCs w:val="32"/>
          <w:lang w:eastAsia="zh-CN"/>
        </w:rPr>
        <w:t>中医医院</w:t>
      </w:r>
      <w:r>
        <w:rPr>
          <w:rFonts w:ascii="Times New Roman" w:hAnsi="Times New Roman" w:eastAsia="仿宋_GB2312" w:cs="Times New Roman"/>
          <w:sz w:val="32"/>
          <w:szCs w:val="32"/>
        </w:rPr>
        <w:t>收支包含在部门预算中。</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年预算收入</w:t>
      </w:r>
      <w:r>
        <w:rPr>
          <w:rFonts w:hint="eastAsia" w:ascii="Times New Roman" w:hAnsi="Times New Roman" w:eastAsia="仿宋_GB2312" w:cs="Times New Roman"/>
          <w:sz w:val="32"/>
          <w:szCs w:val="32"/>
          <w:lang w:val="en-US" w:eastAsia="zh-CN"/>
        </w:rPr>
        <w:t>42512.68</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lang w:val="en-US" w:eastAsia="zh-CN"/>
        </w:rPr>
        <w:t>3848.82</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38000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663.86</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pPr>
        <w:spacing w:line="584" w:lineRule="exact"/>
        <w:ind w:firstLine="64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收支预算总表支出栏、基本支出表、项目支出表按经济分类和支出功能分类科目编制，反映廊坊市</w:t>
      </w:r>
      <w:r>
        <w:rPr>
          <w:rFonts w:hint="eastAsia" w:ascii="Times New Roman" w:hAnsi="Times New Roman" w:eastAsia="仿宋_GB2312" w:cs="Times New Roman"/>
          <w:sz w:val="32"/>
          <w:szCs w:val="32"/>
          <w:lang w:eastAsia="zh-CN"/>
        </w:rPr>
        <w:t>中医医院</w:t>
      </w:r>
      <w:r>
        <w:rPr>
          <w:rFonts w:ascii="Times New Roman" w:hAnsi="Times New Roman" w:eastAsia="仿宋_GB2312" w:cs="Times New Roman"/>
          <w:sz w:val="32"/>
          <w:szCs w:val="32"/>
        </w:rPr>
        <w:t>年度部门预算中支出预算的总体情况。20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年支出预算</w:t>
      </w:r>
      <w:r>
        <w:rPr>
          <w:rFonts w:hint="eastAsia" w:ascii="Times New Roman" w:hAnsi="Times New Roman" w:eastAsia="仿宋_GB2312" w:cs="Times New Roman"/>
          <w:sz w:val="32"/>
          <w:szCs w:val="32"/>
          <w:lang w:val="en-US" w:eastAsia="zh-CN"/>
        </w:rPr>
        <w:t>42512.68</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2718.82</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lang w:val="en-US" w:eastAsia="zh-CN"/>
        </w:rPr>
        <w:t>2718.82</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lang w:val="en-US" w:eastAsia="zh-CN"/>
        </w:rPr>
        <w:t>39793.86</w:t>
      </w:r>
      <w:r>
        <w:rPr>
          <w:rFonts w:ascii="Times New Roman" w:hAnsi="Times New Roman" w:eastAsia="仿宋_GB2312" w:cs="Times New Roman"/>
          <w:sz w:val="32"/>
          <w:szCs w:val="32"/>
        </w:rPr>
        <w:t>万元，包括本级支出</w:t>
      </w:r>
      <w:r>
        <w:rPr>
          <w:rFonts w:hint="eastAsia" w:ascii="Times New Roman" w:hAnsi="Times New Roman" w:eastAsia="仿宋_GB2312" w:cs="Times New Roman"/>
          <w:sz w:val="32"/>
          <w:szCs w:val="32"/>
          <w:lang w:val="en-US" w:eastAsia="zh-CN"/>
        </w:rPr>
        <w:t>39130万元</w:t>
      </w:r>
      <w:r>
        <w:rPr>
          <w:rFonts w:ascii="Times New Roman" w:hAnsi="Times New Roman" w:eastAsia="仿宋_GB2312" w:cs="Times New Roman"/>
          <w:sz w:val="32"/>
          <w:szCs w:val="32"/>
        </w:rPr>
        <w:t>，主要为</w:t>
      </w:r>
      <w:r>
        <w:rPr>
          <w:rFonts w:hint="eastAsia" w:ascii="Times New Roman" w:hAnsi="Times New Roman" w:eastAsia="仿宋_GB2312" w:cs="Times New Roman"/>
          <w:sz w:val="32"/>
          <w:szCs w:val="32"/>
          <w:lang w:eastAsia="zh-CN"/>
        </w:rPr>
        <w:t>药品卫生材料费购置资金</w:t>
      </w:r>
      <w:r>
        <w:rPr>
          <w:rFonts w:hint="eastAsia" w:ascii="Times New Roman" w:hAnsi="Times New Roman" w:eastAsia="仿宋_GB2312" w:cs="Times New Roman"/>
          <w:sz w:val="32"/>
          <w:szCs w:val="32"/>
          <w:lang w:val="en-US" w:eastAsia="zh-CN"/>
        </w:rPr>
        <w:t>24150万元；</w:t>
      </w:r>
      <w:r>
        <w:rPr>
          <w:rFonts w:hint="eastAsia" w:ascii="Times New Roman" w:hAnsi="Times New Roman" w:eastAsia="仿宋_GB2312" w:cs="Times New Roman"/>
          <w:sz w:val="32"/>
          <w:szCs w:val="32"/>
          <w:lang w:eastAsia="zh-CN"/>
        </w:rPr>
        <w:t>医院设备购置资金</w:t>
      </w:r>
      <w:r>
        <w:rPr>
          <w:rFonts w:hint="eastAsia" w:ascii="Times New Roman" w:hAnsi="Times New Roman" w:eastAsia="仿宋_GB2312" w:cs="Times New Roman"/>
          <w:sz w:val="32"/>
          <w:szCs w:val="32"/>
          <w:lang w:val="en-US" w:eastAsia="zh-CN"/>
        </w:rPr>
        <w:t>530万元；医院日常运行支出经费13320万元；肿瘤专科建设项目资金800万元；设备购置资金200万元；公立医院承担公共卫生项目资金5万元；中医药人才培养资金10万元；住院收费处及药房改造项目资金115万元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包括上年结转支出</w:t>
      </w:r>
      <w:r>
        <w:rPr>
          <w:rFonts w:hint="eastAsia" w:ascii="Times New Roman" w:hAnsi="Times New Roman" w:eastAsia="仿宋_GB2312" w:cs="Times New Roman"/>
          <w:sz w:val="32"/>
          <w:szCs w:val="32"/>
          <w:lang w:val="en-US" w:eastAsia="zh-CN"/>
        </w:rPr>
        <w:t>663.68万元。</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年预算收支安排</w:t>
      </w:r>
      <w:r>
        <w:rPr>
          <w:rFonts w:hint="eastAsia" w:ascii="Times New Roman" w:hAnsi="Times New Roman" w:eastAsia="仿宋_GB2312" w:cs="Times New Roman"/>
          <w:sz w:val="32"/>
          <w:szCs w:val="32"/>
          <w:lang w:val="en-US" w:eastAsia="zh-CN"/>
        </w:rPr>
        <w:t>42512.68</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年预算增加</w:t>
      </w:r>
      <w:r>
        <w:rPr>
          <w:rFonts w:hint="eastAsia" w:ascii="Times New Roman" w:hAnsi="Times New Roman" w:eastAsia="仿宋_GB2312" w:cs="Times New Roman"/>
          <w:sz w:val="32"/>
          <w:szCs w:val="32"/>
          <w:lang w:val="en-US" w:eastAsia="zh-CN"/>
        </w:rPr>
        <w:t>5678.86</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eastAsia="zh-CN"/>
        </w:rPr>
        <w:t>与</w:t>
      </w:r>
      <w:r>
        <w:rPr>
          <w:rFonts w:hint="eastAsia" w:ascii="Times New Roman" w:hAnsi="Times New Roman" w:eastAsia="仿宋_GB2312" w:cs="Times New Roman"/>
          <w:sz w:val="32"/>
          <w:szCs w:val="32"/>
          <w:lang w:val="en-US" w:eastAsia="zh-CN"/>
        </w:rPr>
        <w:t>2020年持平</w:t>
      </w:r>
      <w:r>
        <w:rPr>
          <w:rFonts w:ascii="Times New Roman" w:hAnsi="Times New Roman" w:eastAsia="仿宋_GB2312" w:cs="Times New Roman"/>
          <w:sz w:val="32"/>
          <w:szCs w:val="32"/>
        </w:rPr>
        <w:t>，主要为</w:t>
      </w:r>
      <w:r>
        <w:rPr>
          <w:rFonts w:hint="eastAsia" w:ascii="Times New Roman" w:hAnsi="Times New Roman" w:eastAsia="仿宋_GB2312" w:cs="Times New Roman"/>
          <w:sz w:val="32"/>
          <w:szCs w:val="32"/>
          <w:lang w:eastAsia="zh-CN"/>
        </w:rPr>
        <w:t>人员经费</w:t>
      </w:r>
      <w:r>
        <w:rPr>
          <w:rFonts w:ascii="Times New Roman" w:hAnsi="Times New Roman" w:eastAsia="仿宋_GB2312" w:cs="Times New Roman"/>
          <w:sz w:val="32"/>
          <w:szCs w:val="32"/>
        </w:rPr>
        <w:t>支出；项目支出增加</w:t>
      </w:r>
      <w:r>
        <w:rPr>
          <w:rFonts w:hint="eastAsia" w:ascii="Times New Roman" w:hAnsi="Times New Roman" w:eastAsia="仿宋_GB2312" w:cs="Times New Roman"/>
          <w:sz w:val="32"/>
          <w:szCs w:val="32"/>
          <w:lang w:val="en-US" w:eastAsia="zh-CN"/>
        </w:rPr>
        <w:t>5678.86</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住院收费处及药房改造项目资金、</w:t>
      </w:r>
      <w:r>
        <w:rPr>
          <w:rFonts w:hint="eastAsia" w:ascii="Times New Roman" w:hAnsi="Times New Roman" w:eastAsia="仿宋_GB2312" w:cs="Times New Roman"/>
          <w:sz w:val="32"/>
          <w:szCs w:val="32"/>
          <w:lang w:eastAsia="zh-CN"/>
        </w:rPr>
        <w:t>药品卫生材料费购置资金、</w:t>
      </w:r>
      <w:r>
        <w:rPr>
          <w:rFonts w:hint="eastAsia" w:ascii="Times New Roman" w:hAnsi="Times New Roman" w:eastAsia="仿宋_GB2312" w:cs="Times New Roman"/>
          <w:sz w:val="32"/>
          <w:szCs w:val="32"/>
          <w:lang w:val="en-US" w:eastAsia="zh-CN"/>
        </w:rPr>
        <w:t>医院日常运行支出经费</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设备购置</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eastAsia="zh-CN"/>
        </w:rPr>
        <w:t>和上年结转支出</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项目支出。</w:t>
      </w:r>
    </w:p>
    <w:p>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三、机关运行经费安排情况</w:t>
      </w:r>
    </w:p>
    <w:p>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运行经费共计安排</w:t>
      </w:r>
      <w:r>
        <w:rPr>
          <w:rFonts w:hint="eastAsia" w:ascii="Times New Roman" w:hAnsi="Times New Roman" w:eastAsia="仿宋_GB2312" w:cs="Times New Roman"/>
          <w:sz w:val="32"/>
          <w:szCs w:val="32"/>
          <w:lang w:val="en-US" w:eastAsia="zh-CN"/>
        </w:rPr>
        <w:t>13320</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lang w:eastAsia="zh-CN"/>
        </w:rPr>
        <w:t>我单位人员工资支出、</w:t>
      </w:r>
      <w:r>
        <w:rPr>
          <w:rFonts w:ascii="Times New Roman" w:hAnsi="Times New Roman" w:eastAsia="仿宋_GB2312" w:cs="Times New Roman"/>
          <w:sz w:val="32"/>
          <w:szCs w:val="32"/>
        </w:rPr>
        <w:t>办公区的日常维修、办公用房水电费、办公用房取暖费、办公用房物业管理费等日常运行支出。</w:t>
      </w:r>
    </w:p>
    <w:p>
      <w:pPr>
        <w:autoSpaceDE w:val="0"/>
        <w:autoSpaceDN w:val="0"/>
        <w:adjustRightInd w:val="0"/>
        <w:spacing w:line="584" w:lineRule="exact"/>
        <w:ind w:firstLine="630" w:firstLineChars="196"/>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pPr>
        <w:autoSpaceDE w:val="0"/>
        <w:autoSpaceDN w:val="0"/>
        <w:adjustRightInd w:val="0"/>
        <w:spacing w:line="584" w:lineRule="exact"/>
        <w:ind w:left="197" w:leftChars="94" w:firstLine="640" w:firstLineChars="200"/>
        <w:jc w:val="left"/>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年，我局财政拨款“三公”经费预算安排</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相比</w:t>
      </w:r>
      <w:r>
        <w:rPr>
          <w:rFonts w:ascii="Times New Roman" w:hAnsi="Times New Roman" w:eastAsia="仿宋_GB2312" w:cs="Times New Roman"/>
          <w:sz w:val="32"/>
          <w:szCs w:val="32"/>
          <w:highlight w:val="none"/>
        </w:rPr>
        <w:t>持平</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color w:val="000000" w:themeColor="text1"/>
          <w:sz w:val="32"/>
          <w:szCs w:val="32"/>
          <w14:textFill>
            <w14:solidFill>
              <w14:schemeClr w14:val="tx1"/>
            </w14:solidFill>
          </w14:textFill>
        </w:rPr>
        <w:t>无增减变化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numPr>
          <w:ilvl w:val="0"/>
          <w:numId w:val="1"/>
        </w:num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绩效预算信息</w:t>
      </w:r>
    </w:p>
    <w:p>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第二部分 资金绩效目标</w:t>
      </w:r>
    </w:p>
    <w:p>
      <w:pPr>
        <w:ind w:firstLine="1400" w:firstLineChars="500"/>
        <w:jc w:val="left"/>
        <w:outlineLvl w:val="3"/>
        <w:rPr>
          <w:rFonts w:ascii="Times New Roman" w:hAnsi="Times New Roman"/>
          <w:b/>
          <w:sz w:val="28"/>
        </w:rPr>
      </w:pPr>
      <w:bookmarkStart w:id="0" w:name="_Toc63782111"/>
      <w:r>
        <w:rPr>
          <w:rFonts w:hint="eastAsia" w:ascii="Times New Roman" w:hAnsi="Times New Roman" w:eastAsia="方正仿宋_GBK"/>
          <w:b w:val="0"/>
          <w:bCs/>
          <w:sz w:val="28"/>
          <w:szCs w:val="28"/>
          <w:lang w:val="en-US" w:eastAsia="zh-CN"/>
        </w:rPr>
        <w:t>1、</w:t>
      </w:r>
      <w:r>
        <w:rPr>
          <w:rFonts w:ascii="Times New Roman" w:hAnsi="Times New Roman" w:eastAsia="方正仿宋_GBK"/>
          <w:b w:val="0"/>
          <w:bCs/>
          <w:sz w:val="28"/>
          <w:szCs w:val="28"/>
        </w:rPr>
        <w:t>中医药人才培养资金绩效目标表</w:t>
      </w:r>
      <w:bookmarkEnd w:id="0"/>
      <w:r>
        <w:fldChar w:fldCharType="begin"/>
      </w:r>
      <w:r>
        <w:rPr>
          <w:rFonts w:ascii="Times New Roman" w:hAnsi="Times New Roman" w:eastAsia="方正仿宋_GBK"/>
          <w:b/>
          <w:sz w:val="28"/>
        </w:rPr>
        <w:instrText xml:space="preserve"> TC 79、中医药人才培养资金绩效目标表 \f C \l 1 </w:instrText>
      </w:r>
      <w:r>
        <w:rPr>
          <w:rFonts w:ascii="Times New Roman" w:hAnsi="Times New Roman" w:eastAsia="方正仿宋_GBK"/>
          <w:b/>
          <w:sz w:val="28"/>
        </w:rPr>
        <w:fldChar w:fldCharType="end"/>
      </w:r>
    </w:p>
    <w:tbl>
      <w:tblPr>
        <w:tblStyle w:val="4"/>
        <w:tblW w:w="1124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44"/>
        <w:gridCol w:w="909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44"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096"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1.项目资金10万元，其中财政资金10万元，用于外派进修人员、组织培训、参加各类学习，逐步提高专业人员业务水平及科研能力，培养一支高水平的人才队伍，更好的为广大患者服务，不断推进医院的学科发展。</w:t>
            </w:r>
          </w:p>
          <w:p>
            <w:pPr>
              <w:spacing w:line="300" w:lineRule="exact"/>
              <w:jc w:val="left"/>
              <w:rPr>
                <w:rFonts w:ascii="Times New Roman" w:hAnsi="Times New Roman" w:eastAsia="方正书宋_GBK"/>
              </w:rPr>
            </w:pPr>
            <w:r>
              <w:rPr>
                <w:rFonts w:ascii="Times New Roman" w:hAnsi="Times New Roman" w:eastAsia="方正书宋_GBK"/>
              </w:rPr>
              <w:t>2.通过项目的开展，完成中医培训10人，考核通过率达到95%以上，实现卫生技术人员技术水平服务能力的不断提升。</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27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71"/>
        <w:gridCol w:w="1956"/>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17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95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27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9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7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70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外出培训人数</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外出培训人数情况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≥10人次</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培训计划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vMerge w:val="continue"/>
            <w:noWrap w:val="0"/>
            <w:vAlign w:val="center"/>
          </w:tcPr>
          <w:p>
            <w:pPr>
              <w:spacing w:line="300" w:lineRule="exact"/>
              <w:jc w:val="center"/>
              <w:rPr>
                <w:rFonts w:ascii="Times New Roman" w:hAnsi="Times New Roman" w:eastAsia="方正书宋_GBK"/>
              </w:rPr>
            </w:pP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培训到场率</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考察培训人员出勤率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≥95%</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考勤表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vMerge w:val="continue"/>
            <w:noWrap w:val="0"/>
            <w:vAlign w:val="center"/>
          </w:tcPr>
          <w:p>
            <w:pPr>
              <w:spacing w:line="300" w:lineRule="exact"/>
              <w:jc w:val="center"/>
              <w:rPr>
                <w:rFonts w:ascii="Times New Roman" w:hAnsi="Times New Roman" w:eastAsia="方正书宋_GBK"/>
              </w:rPr>
            </w:pP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培训及时率</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考察培训完成时间情况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≤12月</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培训总结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vMerge w:val="continue"/>
            <w:noWrap w:val="0"/>
            <w:vAlign w:val="center"/>
          </w:tcPr>
          <w:p>
            <w:pPr>
              <w:spacing w:line="300" w:lineRule="exact"/>
              <w:jc w:val="center"/>
              <w:rPr>
                <w:rFonts w:ascii="Times New Roman" w:hAnsi="Times New Roman" w:eastAsia="方正书宋_GBK"/>
              </w:rPr>
            </w:pP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京津冀大型医院进修人员平均成本</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考察京津冀大型医院进修人均成本情况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≤1.2万元/人</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vMerge w:val="restart"/>
            <w:noWrap w:val="0"/>
            <w:vAlign w:val="center"/>
          </w:tcPr>
          <w:p>
            <w:pPr>
              <w:spacing w:line="300" w:lineRule="exact"/>
              <w:jc w:val="center"/>
              <w:rPr>
                <w:rFonts w:ascii="Times New Roman" w:hAnsi="Times New Roman" w:eastAsia="方正书宋_GBK"/>
              </w:rPr>
            </w:pPr>
            <w:r>
              <w:rPr>
                <w:rFonts w:hint="eastAsia" w:ascii="Times New Roman" w:hAnsi="Times New Roman" w:eastAsia="方正书宋_GBK"/>
                <w:lang w:eastAsia="zh-CN"/>
              </w:rPr>
              <w:t>效果</w:t>
            </w:r>
            <w:r>
              <w:rPr>
                <w:rFonts w:ascii="Times New Roman" w:hAnsi="Times New Roman" w:eastAsia="方正书宋_GBK"/>
              </w:rPr>
              <w:t>指标</w:t>
            </w: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服务能力提升</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考察培训前后能力提升对比情况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提升</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医院人才培养计划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vMerge w:val="continue"/>
            <w:noWrap w:val="0"/>
            <w:vAlign w:val="center"/>
          </w:tcPr>
          <w:p>
            <w:pPr>
              <w:spacing w:line="300" w:lineRule="exact"/>
              <w:jc w:val="center"/>
              <w:rPr>
                <w:rFonts w:ascii="Times New Roman" w:hAnsi="Times New Roman" w:eastAsia="方正书宋_GBK"/>
              </w:rPr>
            </w:pP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长效管理机制健全</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人员培养工作的长效管理机制健全情况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健全</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《继续医学教育规定》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71"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95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培训人员满意度</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培训人员满意度</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≥90%</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调查表</w:t>
            </w:r>
          </w:p>
        </w:tc>
      </w:tr>
    </w:tbl>
    <w:p>
      <w:pPr>
        <w:spacing w:line="300" w:lineRule="exact"/>
        <w:ind w:firstLine="420" w:firstLineChars="200"/>
        <w:jc w:val="left"/>
        <w:rPr>
          <w:rFonts w:ascii="Times New Roman" w:hAnsi="Times New Roman"/>
        </w:rPr>
        <w:sectPr>
          <w:footerReference r:id="rId3" w:type="default"/>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400" w:firstLineChars="500"/>
        <w:jc w:val="left"/>
        <w:outlineLvl w:val="3"/>
        <w:rPr>
          <w:rFonts w:ascii="Times New Roman" w:hAnsi="Times New Roman"/>
          <w:b w:val="0"/>
          <w:bCs/>
          <w:sz w:val="28"/>
        </w:rPr>
      </w:pPr>
      <w:bookmarkStart w:id="1" w:name="_Toc63782112"/>
      <w:r>
        <w:rPr>
          <w:rFonts w:hint="eastAsia" w:ascii="Times New Roman" w:hAnsi="Times New Roman" w:eastAsia="方正仿宋_GBK"/>
          <w:b w:val="0"/>
          <w:bCs/>
          <w:sz w:val="28"/>
          <w:lang w:val="en-US" w:eastAsia="zh-CN"/>
        </w:rPr>
        <w:t>2、</w:t>
      </w:r>
      <w:r>
        <w:rPr>
          <w:rFonts w:ascii="Times New Roman" w:hAnsi="Times New Roman" w:eastAsia="方正仿宋_GBK"/>
          <w:b w:val="0"/>
          <w:bCs/>
          <w:sz w:val="28"/>
        </w:rPr>
        <w:t>肿瘤专科建设项目资金绩效目标表</w:t>
      </w:r>
      <w:bookmarkEnd w:id="1"/>
      <w:r>
        <w:rPr>
          <w:b w:val="0"/>
          <w:bCs/>
        </w:rPr>
        <w:fldChar w:fldCharType="begin"/>
      </w:r>
      <w:r>
        <w:rPr>
          <w:rFonts w:ascii="Times New Roman" w:hAnsi="Times New Roman" w:eastAsia="方正仿宋_GBK"/>
          <w:b w:val="0"/>
          <w:bCs/>
          <w:sz w:val="28"/>
        </w:rPr>
        <w:instrText xml:space="preserve"> TC 80、肿瘤专科建设项目资金绩效目标表 \f C \l 1 </w:instrText>
      </w:r>
      <w:r>
        <w:rPr>
          <w:rFonts w:ascii="Times New Roman" w:hAnsi="Times New Roman" w:eastAsia="方正仿宋_GBK"/>
          <w:b w:val="0"/>
          <w:bCs/>
          <w:sz w:val="28"/>
        </w:rPr>
        <w:fldChar w:fldCharType="end"/>
      </w:r>
    </w:p>
    <w:tbl>
      <w:tblPr>
        <w:tblStyle w:val="4"/>
        <w:tblW w:w="112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71"/>
        <w:gridCol w:w="912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71"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123"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项目资金860万元，其中财政资金800万元，用于购置高精尖的医疗设备提升诊断治疗的准确性，开发新的医疗项目，更好的为广大患者服务，从而增强医院的综合实力，提高行业竞争力。加快推进医院基本建设，优化院区布局，规模不断扩大。把医院建设成“现代化、科研型、智能化”的现代化医院。</w:t>
            </w:r>
          </w:p>
          <w:p>
            <w:pPr>
              <w:spacing w:line="300" w:lineRule="exact"/>
              <w:jc w:val="left"/>
              <w:rPr>
                <w:rFonts w:ascii="Times New Roman" w:hAnsi="Times New Roman" w:eastAsia="方正书宋_GBK"/>
              </w:rPr>
            </w:pPr>
            <w:r>
              <w:rPr>
                <w:rFonts w:ascii="Times New Roman" w:hAnsi="Times New Roman" w:eastAsia="方正书宋_GBK"/>
              </w:rPr>
              <w:t>2.项目资金860万元，计划购置医疗设备3台，用于医疗设备改造，确保设备购置验收通过并及时投入使用。</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34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95"/>
        <w:gridCol w:w="1950"/>
        <w:gridCol w:w="1327"/>
        <w:gridCol w:w="2873"/>
        <w:gridCol w:w="1269"/>
        <w:gridCol w:w="17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195"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950"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327"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73"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69"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729"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专用设备购置数量</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考察专用设备购置数量</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3台</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vMerge w:val="continue"/>
            <w:noWrap w:val="0"/>
            <w:vAlign w:val="center"/>
          </w:tcPr>
          <w:p>
            <w:pPr>
              <w:spacing w:line="300" w:lineRule="exact"/>
              <w:jc w:val="center"/>
              <w:rPr>
                <w:rFonts w:ascii="Times New Roman" w:hAnsi="Times New Roman" w:eastAsia="方正书宋_GBK"/>
              </w:rPr>
            </w:pP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设备购置验收通过率</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考察设备安装调试符合验收标准</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vMerge w:val="continue"/>
            <w:noWrap w:val="0"/>
            <w:vAlign w:val="center"/>
          </w:tcPr>
          <w:p>
            <w:pPr>
              <w:spacing w:line="300" w:lineRule="exact"/>
              <w:jc w:val="center"/>
              <w:rPr>
                <w:rFonts w:ascii="Times New Roman" w:hAnsi="Times New Roman" w:eastAsia="方正书宋_GBK"/>
              </w:rPr>
            </w:pP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 xml:space="preserve">设备购置完成及时性 </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考察设备购置安装验收完成时间</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及时</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财务凭证、银行流水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vMerge w:val="continue"/>
            <w:noWrap w:val="0"/>
            <w:vAlign w:val="center"/>
          </w:tcPr>
          <w:p>
            <w:pPr>
              <w:spacing w:line="300" w:lineRule="exact"/>
              <w:jc w:val="center"/>
              <w:rPr>
                <w:rFonts w:ascii="Times New Roman" w:hAnsi="Times New Roman" w:eastAsia="方正书宋_GBK"/>
              </w:rPr>
            </w:pP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医疗设备购置平均成本</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考察医疗设备平均成本情况</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≤287万元/台</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采购合同，财务凭证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vMerge w:val="restart"/>
            <w:noWrap w:val="0"/>
            <w:vAlign w:val="center"/>
          </w:tcPr>
          <w:p>
            <w:pPr>
              <w:spacing w:line="300" w:lineRule="exact"/>
              <w:jc w:val="center"/>
              <w:rPr>
                <w:rFonts w:ascii="Times New Roman" w:hAnsi="Times New Roman" w:eastAsia="方正书宋_GBK"/>
              </w:rPr>
            </w:pPr>
            <w:r>
              <w:rPr>
                <w:rFonts w:hint="eastAsia" w:ascii="Times New Roman" w:hAnsi="Times New Roman" w:eastAsia="方正书宋_GBK"/>
                <w:lang w:eastAsia="zh-CN"/>
              </w:rPr>
              <w:t>效果</w:t>
            </w:r>
            <w:r>
              <w:rPr>
                <w:rFonts w:ascii="Times New Roman" w:hAnsi="Times New Roman" w:eastAsia="方正书宋_GBK"/>
              </w:rPr>
              <w:t>指标</w:t>
            </w: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专用设备综合使用率</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考察设备使用情况</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≥95%</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vMerge w:val="continue"/>
            <w:noWrap w:val="0"/>
            <w:vAlign w:val="center"/>
          </w:tcPr>
          <w:p>
            <w:pPr>
              <w:spacing w:line="300" w:lineRule="exact"/>
              <w:jc w:val="center"/>
              <w:rPr>
                <w:rFonts w:ascii="Times New Roman" w:hAnsi="Times New Roman" w:eastAsia="方正书宋_GBK"/>
              </w:rPr>
            </w:pP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长效管理机制健全性</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考察设备的管理长效健全情况</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健全</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长效管理制度文件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195"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95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32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设备使用人员满意度</w:t>
            </w:r>
          </w:p>
        </w:tc>
        <w:tc>
          <w:tcPr>
            <w:tcW w:w="287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考察设备使用人员满意情况</w:t>
            </w:r>
          </w:p>
        </w:tc>
        <w:tc>
          <w:tcPr>
            <w:tcW w:w="126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≥90%</w:t>
            </w:r>
          </w:p>
        </w:tc>
        <w:tc>
          <w:tcPr>
            <w:tcW w:w="172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bl>
    <w:p>
      <w:pPr>
        <w:spacing w:line="300" w:lineRule="exact"/>
        <w:ind w:firstLine="420" w:firstLineChars="200"/>
        <w:jc w:val="left"/>
        <w:rPr>
          <w:rFonts w:ascii="Times New Roman" w:hAnsi="Times New Roman"/>
        </w:rPr>
        <w:sectPr>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400" w:firstLineChars="500"/>
        <w:jc w:val="left"/>
        <w:outlineLvl w:val="3"/>
        <w:rPr>
          <w:rFonts w:ascii="Times New Roman" w:hAnsi="Times New Roman"/>
          <w:b/>
          <w:sz w:val="28"/>
        </w:rPr>
      </w:pPr>
      <w:bookmarkStart w:id="2" w:name="_Toc63782113"/>
      <w:r>
        <w:rPr>
          <w:rFonts w:hint="eastAsia" w:ascii="Times New Roman" w:hAnsi="Times New Roman" w:eastAsia="方正仿宋_GBK"/>
          <w:b w:val="0"/>
          <w:bCs/>
          <w:sz w:val="28"/>
          <w:lang w:val="en-US" w:eastAsia="zh-CN"/>
        </w:rPr>
        <w:t>3、</w:t>
      </w:r>
      <w:r>
        <w:rPr>
          <w:rFonts w:ascii="Times New Roman" w:hAnsi="Times New Roman" w:eastAsia="方正仿宋_GBK"/>
          <w:b w:val="0"/>
          <w:bCs/>
          <w:sz w:val="28"/>
        </w:rPr>
        <w:t>医疗设备购置补助资金绩效目标表</w:t>
      </w:r>
      <w:bookmarkEnd w:id="2"/>
      <w:r>
        <w:fldChar w:fldCharType="begin"/>
      </w:r>
      <w:r>
        <w:rPr>
          <w:rFonts w:ascii="Times New Roman" w:hAnsi="Times New Roman" w:eastAsia="方正仿宋_GBK"/>
          <w:b/>
          <w:sz w:val="28"/>
        </w:rPr>
        <w:instrText xml:space="preserve"> TC 81、医疗设备购置补助资金绩效目标表 \f C \l 1 </w:instrText>
      </w:r>
      <w:r>
        <w:rPr>
          <w:rFonts w:ascii="Times New Roman" w:hAnsi="Times New Roman" w:eastAsia="方正仿宋_GBK"/>
          <w:b/>
          <w:sz w:val="28"/>
        </w:rPr>
        <w:fldChar w:fldCharType="end"/>
      </w:r>
    </w:p>
    <w:tbl>
      <w:tblPr>
        <w:tblStyle w:val="4"/>
        <w:tblW w:w="1136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84"/>
        <w:gridCol w:w="91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84"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185"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项目资金260万元，其中财政资金200万元，用于购置高精尖的医疗设备提升诊断治疗的准确性，开发新的医疗项目，更好的为广大患者服务，从而增强医院的综合实力，提高行业竞争力。加快推进医院基本建设，优化院区布局，规模不断扩大。把医院建设成“现代化、科研型、智能化”的现代化医院。</w:t>
            </w:r>
          </w:p>
          <w:p>
            <w:pPr>
              <w:spacing w:line="300" w:lineRule="exact"/>
              <w:jc w:val="left"/>
              <w:rPr>
                <w:rFonts w:ascii="Times New Roman" w:hAnsi="Times New Roman" w:eastAsia="方正书宋_GBK"/>
              </w:rPr>
            </w:pPr>
            <w:r>
              <w:rPr>
                <w:rFonts w:ascii="Times New Roman" w:hAnsi="Times New Roman" w:eastAsia="方正书宋_GBK"/>
              </w:rPr>
              <w:t>2.计划购置专用设备1台，用于医疗设备改善，确保设备购置验收通过并及时完成。</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36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04"/>
        <w:gridCol w:w="1957"/>
        <w:gridCol w:w="1355"/>
        <w:gridCol w:w="2812"/>
        <w:gridCol w:w="1276"/>
        <w:gridCol w:w="175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204"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957"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355"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1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7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757"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专用设备购置数量</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考察设备采购数量</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1台</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设备清单及验收报告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vMerge w:val="continue"/>
            <w:noWrap w:val="0"/>
            <w:vAlign w:val="center"/>
          </w:tcPr>
          <w:p>
            <w:pPr>
              <w:spacing w:line="300" w:lineRule="exact"/>
              <w:jc w:val="center"/>
              <w:rPr>
                <w:rFonts w:ascii="Times New Roman" w:hAnsi="Times New Roman" w:eastAsia="方正书宋_GBK"/>
              </w:rPr>
            </w:pP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设备购置验收通过率</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设备安装调试完成后符合验收标准</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vMerge w:val="continue"/>
            <w:noWrap w:val="0"/>
            <w:vAlign w:val="center"/>
          </w:tcPr>
          <w:p>
            <w:pPr>
              <w:spacing w:line="300" w:lineRule="exact"/>
              <w:jc w:val="center"/>
              <w:rPr>
                <w:rFonts w:ascii="Times New Roman" w:hAnsi="Times New Roman" w:eastAsia="方正书宋_GBK"/>
              </w:rPr>
            </w:pP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设备购置完成及时性</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考察设备购置安装验收完成时间</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及时</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财务凭证、银行流水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vMerge w:val="continue"/>
            <w:noWrap w:val="0"/>
            <w:vAlign w:val="center"/>
          </w:tcPr>
          <w:p>
            <w:pPr>
              <w:spacing w:line="300" w:lineRule="exact"/>
              <w:jc w:val="center"/>
              <w:rPr>
                <w:rFonts w:ascii="Times New Roman" w:hAnsi="Times New Roman" w:eastAsia="方正书宋_GBK"/>
              </w:rPr>
            </w:pP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医疗设备购置平均成本</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考察医疗设备平均成本情况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≤260万元/台</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财务凭证、银行流水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效益指标</w:t>
            </w: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专用设备综合利用率</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考察设备使用情况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≥95%</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vMerge w:val="continue"/>
            <w:noWrap w:val="0"/>
            <w:vAlign w:val="center"/>
          </w:tcPr>
          <w:p>
            <w:pPr>
              <w:spacing w:line="300" w:lineRule="exact"/>
              <w:jc w:val="center"/>
              <w:rPr>
                <w:rFonts w:ascii="Times New Roman" w:hAnsi="Times New Roman" w:eastAsia="方正书宋_GBK"/>
              </w:rPr>
            </w:pP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长效管理机制健全性</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考察专项设备的长效健全情况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健全</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长效管理制度文件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04"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9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35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设备使用人员满意度</w:t>
            </w:r>
          </w:p>
        </w:tc>
        <w:tc>
          <w:tcPr>
            <w:tcW w:w="281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考察设备使用人员满意情况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≥85%</w:t>
            </w:r>
          </w:p>
        </w:tc>
        <w:tc>
          <w:tcPr>
            <w:tcW w:w="1757"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bl>
    <w:p>
      <w:pPr>
        <w:spacing w:line="300" w:lineRule="exact"/>
        <w:ind w:firstLine="420" w:firstLineChars="200"/>
        <w:jc w:val="left"/>
        <w:rPr>
          <w:rFonts w:ascii="Times New Roman" w:hAnsi="Times New Roman"/>
        </w:rPr>
        <w:sectPr>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400" w:firstLineChars="500"/>
        <w:jc w:val="left"/>
        <w:outlineLvl w:val="3"/>
        <w:rPr>
          <w:rFonts w:ascii="Times New Roman" w:hAnsi="Times New Roman"/>
          <w:b w:val="0"/>
          <w:bCs/>
          <w:sz w:val="28"/>
        </w:rPr>
      </w:pPr>
      <w:bookmarkStart w:id="3" w:name="_Toc63782114"/>
      <w:r>
        <w:rPr>
          <w:rFonts w:hint="eastAsia" w:ascii="Times New Roman" w:hAnsi="Times New Roman" w:eastAsia="方正仿宋_GBK"/>
          <w:b w:val="0"/>
          <w:bCs/>
          <w:sz w:val="28"/>
          <w:lang w:val="en-US" w:eastAsia="zh-CN"/>
        </w:rPr>
        <w:t>4、</w:t>
      </w:r>
      <w:r>
        <w:rPr>
          <w:rFonts w:ascii="Times New Roman" w:hAnsi="Times New Roman" w:eastAsia="方正仿宋_GBK"/>
          <w:b w:val="0"/>
          <w:bCs/>
          <w:sz w:val="28"/>
        </w:rPr>
        <w:t>医院设备购置资金绩效目标表</w:t>
      </w:r>
      <w:bookmarkEnd w:id="3"/>
      <w:r>
        <w:rPr>
          <w:b w:val="0"/>
          <w:bCs/>
        </w:rPr>
        <w:fldChar w:fldCharType="begin"/>
      </w:r>
      <w:r>
        <w:rPr>
          <w:rFonts w:ascii="Times New Roman" w:hAnsi="Times New Roman" w:eastAsia="方正仿宋_GBK"/>
          <w:b w:val="0"/>
          <w:bCs/>
          <w:sz w:val="28"/>
        </w:rPr>
        <w:instrText xml:space="preserve"> TC 82、医院设备购置资金绩效目标表 \f C \l 1 </w:instrText>
      </w:r>
      <w:r>
        <w:rPr>
          <w:rFonts w:ascii="Times New Roman" w:hAnsi="Times New Roman" w:eastAsia="方正仿宋_GBK"/>
          <w:b w:val="0"/>
          <w:bCs/>
          <w:sz w:val="28"/>
        </w:rPr>
        <w:fldChar w:fldCharType="end"/>
      </w:r>
    </w:p>
    <w:tbl>
      <w:tblPr>
        <w:tblStyle w:val="4"/>
        <w:tblW w:w="1139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35"/>
        <w:gridCol w:w="916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35"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163"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1.2021年项目资金530万元，其中其他来源收入资金530万元。通过实施项目满足患者临床需求，提升医院整体医疗水平和综合救治能力，保障人民群众生命安全。</w:t>
            </w:r>
          </w:p>
          <w:p>
            <w:pPr>
              <w:spacing w:line="300" w:lineRule="exact"/>
              <w:jc w:val="left"/>
              <w:rPr>
                <w:rFonts w:ascii="Times New Roman" w:hAnsi="Times New Roman" w:eastAsia="方正书宋_GBK"/>
              </w:rPr>
            </w:pPr>
            <w:r>
              <w:rPr>
                <w:rFonts w:ascii="Times New Roman" w:hAnsi="Times New Roman" w:eastAsia="方正书宋_GBK"/>
              </w:rPr>
              <w:t>2.购置医疗设备5台，用于医疗设备改造，确保设备购置验收通过并及时投入使用。</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38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37"/>
        <w:gridCol w:w="2000"/>
        <w:gridCol w:w="1335"/>
        <w:gridCol w:w="2832"/>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237"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2000"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335"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3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7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70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专用设备购置数量</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考察设备采购项目实际完工的数量情况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5台</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项目清单、验收报告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vMerge w:val="continue"/>
            <w:noWrap w:val="0"/>
            <w:vAlign w:val="center"/>
          </w:tcPr>
          <w:p>
            <w:pPr>
              <w:spacing w:line="300" w:lineRule="exact"/>
              <w:jc w:val="center"/>
              <w:rPr>
                <w:rFonts w:ascii="Times New Roman" w:hAnsi="Times New Roman" w:eastAsia="方正书宋_GBK"/>
              </w:rPr>
            </w:pP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设备购置验收通过率</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考察设备购置安装调试完成后符合验收标准</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vMerge w:val="continue"/>
            <w:noWrap w:val="0"/>
            <w:vAlign w:val="center"/>
          </w:tcPr>
          <w:p>
            <w:pPr>
              <w:spacing w:line="300" w:lineRule="exact"/>
              <w:jc w:val="center"/>
              <w:rPr>
                <w:rFonts w:ascii="Times New Roman" w:hAnsi="Times New Roman" w:eastAsia="方正书宋_GBK"/>
              </w:rPr>
            </w:pP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设备购置完成及时性</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考察设备购置安装投入使用时间</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及时</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财务凭证，银行流水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vMerge w:val="continue"/>
            <w:noWrap w:val="0"/>
            <w:vAlign w:val="center"/>
          </w:tcPr>
          <w:p>
            <w:pPr>
              <w:spacing w:line="300" w:lineRule="exact"/>
              <w:jc w:val="center"/>
              <w:rPr>
                <w:rFonts w:ascii="Times New Roman" w:hAnsi="Times New Roman" w:eastAsia="方正书宋_GBK"/>
              </w:rPr>
            </w:pP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设备购置平均成本</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考察设备平均成本情况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≤106万元/台</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财务凭证，银行流水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效益指标</w:t>
            </w: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专用设备综合利用率</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考察设备使用情况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≥95%</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vMerge w:val="continue"/>
            <w:noWrap w:val="0"/>
            <w:vAlign w:val="center"/>
          </w:tcPr>
          <w:p>
            <w:pPr>
              <w:spacing w:line="300" w:lineRule="exact"/>
              <w:jc w:val="center"/>
              <w:rPr>
                <w:rFonts w:ascii="Times New Roman" w:hAnsi="Times New Roman" w:eastAsia="方正书宋_GBK"/>
              </w:rPr>
            </w:pP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长效管理机制健全性</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考察专用设备管理长效健全情况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健全</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长效管理制度文件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37"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200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335"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设备使用人员满意度</w:t>
            </w:r>
          </w:p>
        </w:tc>
        <w:tc>
          <w:tcPr>
            <w:tcW w:w="283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考察设备使用人员满意情况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≥90%</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bl>
    <w:p>
      <w:pPr>
        <w:spacing w:line="300" w:lineRule="exact"/>
        <w:ind w:firstLine="420" w:firstLineChars="200"/>
        <w:jc w:val="left"/>
        <w:rPr>
          <w:rFonts w:ascii="Times New Roman" w:hAnsi="Times New Roman"/>
        </w:rPr>
        <w:sectPr>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400" w:firstLineChars="500"/>
        <w:jc w:val="left"/>
        <w:outlineLvl w:val="3"/>
        <w:rPr>
          <w:rFonts w:ascii="Times New Roman" w:hAnsi="Times New Roman"/>
          <w:b w:val="0"/>
          <w:bCs/>
          <w:sz w:val="28"/>
        </w:rPr>
      </w:pPr>
      <w:bookmarkStart w:id="4" w:name="_Toc63782115"/>
      <w:r>
        <w:rPr>
          <w:rFonts w:hint="eastAsia" w:ascii="Times New Roman" w:hAnsi="Times New Roman" w:eastAsia="方正仿宋_GBK"/>
          <w:b w:val="0"/>
          <w:bCs/>
          <w:sz w:val="28"/>
          <w:lang w:val="en-US" w:eastAsia="zh-CN"/>
        </w:rPr>
        <w:t>5、</w:t>
      </w:r>
      <w:r>
        <w:rPr>
          <w:rFonts w:ascii="Times New Roman" w:hAnsi="Times New Roman" w:eastAsia="方正仿宋_GBK"/>
          <w:b w:val="0"/>
          <w:bCs/>
          <w:sz w:val="28"/>
        </w:rPr>
        <w:t>住院收费处及药房改造项目资金绩效目标表</w:t>
      </w:r>
      <w:bookmarkEnd w:id="4"/>
      <w:r>
        <w:rPr>
          <w:b w:val="0"/>
          <w:bCs/>
        </w:rPr>
        <w:fldChar w:fldCharType="begin"/>
      </w:r>
      <w:r>
        <w:rPr>
          <w:rFonts w:ascii="Times New Roman" w:hAnsi="Times New Roman" w:eastAsia="方正仿宋_GBK"/>
          <w:b w:val="0"/>
          <w:bCs/>
          <w:sz w:val="28"/>
        </w:rPr>
        <w:instrText xml:space="preserve"> TC 83、住院收费处及药房改造项目资金绩效目标表 \f C \l 1 </w:instrText>
      </w:r>
      <w:r>
        <w:rPr>
          <w:rFonts w:ascii="Times New Roman" w:hAnsi="Times New Roman" w:eastAsia="方正仿宋_GBK"/>
          <w:b w:val="0"/>
          <w:bCs/>
          <w:sz w:val="28"/>
        </w:rPr>
        <w:fldChar w:fldCharType="end"/>
      </w:r>
    </w:p>
    <w:tbl>
      <w:tblPr>
        <w:tblStyle w:val="4"/>
        <w:tblW w:w="1143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45"/>
        <w:gridCol w:w="91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45"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185"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1.项目资金115万元，其中财政资金115万元。项目的实施进一步优化了院区布局，使院区布局更合理，流通简便，更好的满足疫情需求，方便患者就医。</w:t>
            </w:r>
          </w:p>
          <w:p>
            <w:pPr>
              <w:spacing w:line="300" w:lineRule="exact"/>
              <w:jc w:val="left"/>
              <w:rPr>
                <w:rFonts w:ascii="Times New Roman" w:hAnsi="Times New Roman" w:eastAsia="方正书宋_GBK"/>
              </w:rPr>
            </w:pPr>
            <w:r>
              <w:rPr>
                <w:rFonts w:ascii="Times New Roman" w:hAnsi="Times New Roman" w:eastAsia="方正书宋_GBK"/>
              </w:rPr>
              <w:t>2.通过项目的实施保障住院收费处及药房的改造工程顺利完工，确保项目验收合格。</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45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52"/>
        <w:gridCol w:w="1961"/>
        <w:gridCol w:w="1408"/>
        <w:gridCol w:w="2759"/>
        <w:gridCol w:w="1384"/>
        <w:gridCol w:w="16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25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96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408"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759"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384"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69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项目总面积</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考察施工项目面积</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361.84平方米</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vMerge w:val="continue"/>
            <w:noWrap w:val="0"/>
            <w:vAlign w:val="center"/>
          </w:tcPr>
          <w:p>
            <w:pPr>
              <w:spacing w:line="300" w:lineRule="exact"/>
              <w:jc w:val="center"/>
              <w:rPr>
                <w:rFonts w:ascii="Times New Roman" w:hAnsi="Times New Roman" w:eastAsia="方正书宋_GBK"/>
              </w:rPr>
            </w:pP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项目验收通过率</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考察项目验收通过情况</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竣工验收报告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vMerge w:val="continue"/>
            <w:noWrap w:val="0"/>
            <w:vAlign w:val="center"/>
          </w:tcPr>
          <w:p>
            <w:pPr>
              <w:spacing w:line="300" w:lineRule="exact"/>
              <w:jc w:val="center"/>
              <w:rPr>
                <w:rFonts w:ascii="Times New Roman" w:hAnsi="Times New Roman" w:eastAsia="方正书宋_GBK"/>
              </w:rPr>
            </w:pP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工程完工投入使用及时性</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考察工程完工及时投入使用情况</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竣工验收报告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vMerge w:val="continue"/>
            <w:noWrap w:val="0"/>
            <w:vAlign w:val="center"/>
          </w:tcPr>
          <w:p>
            <w:pPr>
              <w:spacing w:line="300" w:lineRule="exact"/>
              <w:jc w:val="center"/>
              <w:rPr>
                <w:rFonts w:ascii="Times New Roman" w:hAnsi="Times New Roman" w:eastAsia="方正书宋_GBK"/>
              </w:rPr>
            </w:pP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土建工程成本情况</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考察工程费用中土建费用成本控制情况</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≤78.18万元</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效益指标</w:t>
            </w: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防疫工作的基础设施条件提升</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反映防疫工作的基础设施提升度</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提升</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vMerge w:val="continue"/>
            <w:noWrap w:val="0"/>
            <w:vAlign w:val="center"/>
          </w:tcPr>
          <w:p>
            <w:pPr>
              <w:spacing w:line="300" w:lineRule="exact"/>
              <w:jc w:val="center"/>
              <w:rPr>
                <w:rFonts w:ascii="Times New Roman" w:hAnsi="Times New Roman" w:eastAsia="方正书宋_GBK"/>
              </w:rPr>
            </w:pP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改善就医环境</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反映项目的建设对就医环境的改善情况</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改善</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2"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96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患者满意度</w:t>
            </w:r>
          </w:p>
        </w:tc>
        <w:tc>
          <w:tcPr>
            <w:tcW w:w="2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考察患者满意率</w:t>
            </w:r>
          </w:p>
        </w:tc>
        <w:tc>
          <w:tcPr>
            <w:tcW w:w="138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≥90%</w:t>
            </w:r>
          </w:p>
        </w:tc>
        <w:tc>
          <w:tcPr>
            <w:tcW w:w="16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bl>
    <w:p>
      <w:pPr>
        <w:spacing w:line="300" w:lineRule="exact"/>
        <w:ind w:firstLine="420" w:firstLineChars="200"/>
        <w:jc w:val="left"/>
        <w:rPr>
          <w:rFonts w:ascii="Times New Roman" w:hAnsi="Times New Roman"/>
        </w:rPr>
        <w:sectPr>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400" w:firstLineChars="500"/>
        <w:jc w:val="left"/>
        <w:outlineLvl w:val="3"/>
        <w:rPr>
          <w:rFonts w:ascii="Times New Roman" w:hAnsi="Times New Roman"/>
          <w:b w:val="0"/>
          <w:bCs/>
          <w:sz w:val="28"/>
        </w:rPr>
      </w:pPr>
      <w:bookmarkStart w:id="5" w:name="_Toc63782116"/>
      <w:r>
        <w:rPr>
          <w:rFonts w:hint="eastAsia" w:ascii="Times New Roman" w:hAnsi="Times New Roman" w:eastAsia="方正仿宋_GBK"/>
          <w:b w:val="0"/>
          <w:bCs/>
          <w:sz w:val="28"/>
          <w:lang w:val="en-US" w:eastAsia="zh-CN"/>
        </w:rPr>
        <w:t>6、</w:t>
      </w:r>
      <w:r>
        <w:rPr>
          <w:rFonts w:ascii="Times New Roman" w:hAnsi="Times New Roman" w:eastAsia="方正仿宋_GBK"/>
          <w:b w:val="0"/>
          <w:bCs/>
          <w:sz w:val="28"/>
        </w:rPr>
        <w:t>医院日常运行项目经费绩效目标表</w:t>
      </w:r>
      <w:bookmarkEnd w:id="5"/>
      <w:r>
        <w:rPr>
          <w:b w:val="0"/>
          <w:bCs/>
        </w:rPr>
        <w:fldChar w:fldCharType="begin"/>
      </w:r>
      <w:r>
        <w:rPr>
          <w:rFonts w:ascii="Times New Roman" w:hAnsi="Times New Roman" w:eastAsia="方正仿宋_GBK"/>
          <w:b w:val="0"/>
          <w:bCs/>
          <w:sz w:val="28"/>
        </w:rPr>
        <w:instrText xml:space="preserve"> TC 84、医院日常运行项目经费绩效目标表 \f C \l 1 </w:instrText>
      </w:r>
      <w:r>
        <w:rPr>
          <w:rFonts w:ascii="Times New Roman" w:hAnsi="Times New Roman" w:eastAsia="方正仿宋_GBK"/>
          <w:b w:val="0"/>
          <w:bCs/>
          <w:sz w:val="28"/>
        </w:rPr>
        <w:fldChar w:fldCharType="end"/>
      </w:r>
    </w:p>
    <w:tbl>
      <w:tblPr>
        <w:tblStyle w:val="4"/>
        <w:tblW w:w="1145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50"/>
        <w:gridCol w:w="920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250"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203"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1.2021年项目预算资金13320万元，资金由其他来源收入安排。通过项目的开展实现医院正常运转，保障医院医疗业务开展。</w:t>
            </w:r>
          </w:p>
          <w:p>
            <w:pPr>
              <w:spacing w:line="300" w:lineRule="exact"/>
              <w:jc w:val="left"/>
              <w:rPr>
                <w:rFonts w:ascii="Times New Roman" w:hAnsi="Times New Roman" w:eastAsia="方正书宋_GBK"/>
              </w:rPr>
            </w:pPr>
            <w:r>
              <w:rPr>
                <w:rFonts w:ascii="Times New Roman" w:hAnsi="Times New Roman" w:eastAsia="方正书宋_GBK"/>
              </w:rPr>
              <w:t>2.通过项目的开展完成医院正常医疗收入。</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44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56"/>
        <w:gridCol w:w="1938"/>
        <w:gridCol w:w="1379"/>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25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938"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379"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9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7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70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日常运行经费支出资金</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核算日常运行经费支出资金</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13320万元</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记账凭证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vMerge w:val="continue"/>
            <w:noWrap w:val="0"/>
            <w:vAlign w:val="center"/>
          </w:tcPr>
          <w:p>
            <w:pPr>
              <w:spacing w:line="300" w:lineRule="exact"/>
              <w:jc w:val="center"/>
              <w:rPr>
                <w:rFonts w:ascii="Times New Roman" w:hAnsi="Times New Roman" w:eastAsia="方正书宋_GBK"/>
              </w:rPr>
            </w:pP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资金支出率</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考察日常运行经费资金支出情况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记账凭证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vMerge w:val="continue"/>
            <w:noWrap w:val="0"/>
            <w:vAlign w:val="center"/>
          </w:tcPr>
          <w:p>
            <w:pPr>
              <w:spacing w:line="300" w:lineRule="exact"/>
              <w:jc w:val="center"/>
              <w:rPr>
                <w:rFonts w:ascii="Times New Roman" w:hAnsi="Times New Roman" w:eastAsia="方正书宋_GBK"/>
              </w:rPr>
            </w:pP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日常运行经费按时支付</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考察日常运行经费支出及时性</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≤12月</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记账凭证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vMerge w:val="continue"/>
            <w:noWrap w:val="0"/>
            <w:vAlign w:val="center"/>
          </w:tcPr>
          <w:p>
            <w:pPr>
              <w:spacing w:line="300" w:lineRule="exact"/>
              <w:jc w:val="center"/>
              <w:rPr>
                <w:rFonts w:ascii="Times New Roman" w:hAnsi="Times New Roman" w:eastAsia="方正书宋_GBK"/>
              </w:rPr>
            </w:pP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日常运行经费平均支出金额</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考察日常运行经费日支出金额</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36.49万元/日</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记账凭证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效益指标</w:t>
            </w: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保障医院正常运转，提升患者就医</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患者就医满意度</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≥85%</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vMerge w:val="continue"/>
            <w:noWrap w:val="0"/>
            <w:vAlign w:val="center"/>
          </w:tcPr>
          <w:p>
            <w:pPr>
              <w:spacing w:line="300" w:lineRule="exact"/>
              <w:jc w:val="center"/>
              <w:rPr>
                <w:rFonts w:ascii="Times New Roman" w:hAnsi="Times New Roman" w:eastAsia="方正书宋_GBK"/>
              </w:rPr>
            </w:pP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提升医院整体环境</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考察医院正常运转情况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正常</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医院正常运转可行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56"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93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37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患者满意度</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考察患者满意度</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≥85%</w:t>
            </w:r>
          </w:p>
        </w:tc>
        <w:tc>
          <w:tcPr>
            <w:tcW w:w="170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bl>
    <w:p>
      <w:pPr>
        <w:spacing w:line="300" w:lineRule="exact"/>
        <w:ind w:firstLine="420" w:firstLineChars="200"/>
        <w:jc w:val="left"/>
        <w:rPr>
          <w:rFonts w:ascii="Times New Roman" w:hAnsi="Times New Roman"/>
        </w:rPr>
        <w:sectPr>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400" w:firstLineChars="500"/>
        <w:jc w:val="left"/>
        <w:outlineLvl w:val="3"/>
        <w:rPr>
          <w:rFonts w:ascii="Times New Roman" w:hAnsi="Times New Roman"/>
          <w:b w:val="0"/>
          <w:bCs/>
          <w:sz w:val="28"/>
        </w:rPr>
      </w:pPr>
      <w:bookmarkStart w:id="6" w:name="_Toc63782117"/>
      <w:r>
        <w:rPr>
          <w:rFonts w:hint="eastAsia" w:ascii="Times New Roman" w:hAnsi="Times New Roman" w:eastAsia="方正仿宋_GBK"/>
          <w:b w:val="0"/>
          <w:bCs/>
          <w:sz w:val="28"/>
          <w:lang w:val="en-US" w:eastAsia="zh-CN"/>
        </w:rPr>
        <w:t>7、</w:t>
      </w:r>
      <w:r>
        <w:rPr>
          <w:rFonts w:ascii="Times New Roman" w:hAnsi="Times New Roman" w:eastAsia="方正仿宋_GBK"/>
          <w:b w:val="0"/>
          <w:bCs/>
          <w:sz w:val="28"/>
        </w:rPr>
        <w:t>药品卫生材料费购置项目经费绩效目标表</w:t>
      </w:r>
      <w:bookmarkEnd w:id="6"/>
      <w:r>
        <w:rPr>
          <w:b w:val="0"/>
          <w:bCs/>
        </w:rPr>
        <w:fldChar w:fldCharType="begin"/>
      </w:r>
      <w:r>
        <w:rPr>
          <w:rFonts w:ascii="Times New Roman" w:hAnsi="Times New Roman" w:eastAsia="方正仿宋_GBK"/>
          <w:b w:val="0"/>
          <w:bCs/>
          <w:sz w:val="28"/>
        </w:rPr>
        <w:instrText xml:space="preserve"> TC 85、药品卫生材料费购置项目经费绩效目标表 \f C \l 1 </w:instrText>
      </w:r>
      <w:r>
        <w:rPr>
          <w:rFonts w:ascii="Times New Roman" w:hAnsi="Times New Roman" w:eastAsia="方正仿宋_GBK"/>
          <w:b w:val="0"/>
          <w:bCs/>
          <w:sz w:val="28"/>
        </w:rPr>
        <w:fldChar w:fldCharType="end"/>
      </w:r>
    </w:p>
    <w:tbl>
      <w:tblPr>
        <w:tblStyle w:val="4"/>
        <w:tblW w:w="1152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61"/>
        <w:gridCol w:w="92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2261"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259"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1.项目资金24150万元，资金由其他来源收入支出，通过项目的开展实现药品材料采购24150万元，保障患者诊疗项目需要，保障医院正常运转。</w:t>
            </w:r>
          </w:p>
          <w:p>
            <w:pPr>
              <w:spacing w:line="300" w:lineRule="exact"/>
              <w:jc w:val="left"/>
              <w:rPr>
                <w:rFonts w:ascii="Times New Roman" w:hAnsi="Times New Roman" w:eastAsia="方正书宋_GBK"/>
              </w:rPr>
            </w:pPr>
            <w:r>
              <w:rPr>
                <w:rFonts w:ascii="Times New Roman" w:hAnsi="Times New Roman" w:eastAsia="方正书宋_GBK"/>
              </w:rPr>
              <w:t>2.保障药品卫生材料的安全可靠，保障临床用药的及时供应。</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tbl>
      <w:tblPr>
        <w:tblStyle w:val="4"/>
        <w:tblW w:w="1149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72"/>
        <w:gridCol w:w="1916"/>
        <w:gridCol w:w="1383"/>
        <w:gridCol w:w="2891"/>
        <w:gridCol w:w="1276"/>
        <w:gridCol w:w="17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27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91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383"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91"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76"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1759"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药品卫生材料采购金额</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考察药品卫生材料采购金额</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24150万元</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采购合同，记账凭证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vMerge w:val="continue"/>
            <w:noWrap w:val="0"/>
            <w:vAlign w:val="center"/>
          </w:tcPr>
          <w:p>
            <w:pPr>
              <w:spacing w:line="300" w:lineRule="exact"/>
              <w:jc w:val="center"/>
              <w:rPr>
                <w:rFonts w:ascii="Times New Roman" w:hAnsi="Times New Roman" w:eastAsia="方正书宋_GBK"/>
              </w:rPr>
            </w:pP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药品卫生材料验收合格率</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考察药品卫生材料验收合格率</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采购发票，出入库单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vMerge w:val="continue"/>
            <w:noWrap w:val="0"/>
            <w:vAlign w:val="center"/>
          </w:tcPr>
          <w:p>
            <w:pPr>
              <w:spacing w:line="300" w:lineRule="exact"/>
              <w:jc w:val="center"/>
              <w:rPr>
                <w:rFonts w:ascii="Times New Roman" w:hAnsi="Times New Roman" w:eastAsia="方正书宋_GBK"/>
              </w:rPr>
            </w:pP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药品卫生材料采购及时性</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考察药品卫生材料采购完成时间</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≤12月</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采购发票，出入库单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vMerge w:val="continue"/>
            <w:noWrap w:val="0"/>
            <w:vAlign w:val="center"/>
          </w:tcPr>
          <w:p>
            <w:pPr>
              <w:spacing w:line="300" w:lineRule="exact"/>
              <w:jc w:val="center"/>
              <w:rPr>
                <w:rFonts w:ascii="Times New Roman" w:hAnsi="Times New Roman" w:eastAsia="方正书宋_GBK"/>
              </w:rPr>
            </w:pP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药品卫生材料月采购成本</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考察每月药品卫生材料费支出金额</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≤2012.5万元/月</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采购发票，记账凭证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效益指标</w:t>
            </w: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保障医院正常运转</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考察患者满意度</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≥85%</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vMerge w:val="continue"/>
            <w:noWrap w:val="0"/>
            <w:vAlign w:val="center"/>
          </w:tcPr>
          <w:p>
            <w:pPr>
              <w:spacing w:line="300" w:lineRule="exact"/>
              <w:jc w:val="center"/>
              <w:rPr>
                <w:rFonts w:ascii="Times New Roman" w:hAnsi="Times New Roman" w:eastAsia="方正书宋_GBK"/>
              </w:rPr>
            </w:pP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医疗服务水平提升情况</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考察医疗服务水平提升情况</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较上年提高</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272"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91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383"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患者满意度</w:t>
            </w:r>
          </w:p>
        </w:tc>
        <w:tc>
          <w:tcPr>
            <w:tcW w:w="2891"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考察患者满意度</w:t>
            </w:r>
          </w:p>
        </w:tc>
        <w:tc>
          <w:tcPr>
            <w:tcW w:w="1276"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≥85%</w:t>
            </w:r>
          </w:p>
        </w:tc>
        <w:tc>
          <w:tcPr>
            <w:tcW w:w="1759"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调查问卷</w:t>
            </w:r>
          </w:p>
        </w:tc>
      </w:tr>
    </w:tbl>
    <w:p>
      <w:pPr>
        <w:spacing w:line="300" w:lineRule="exact"/>
        <w:ind w:firstLine="420" w:firstLineChars="200"/>
        <w:jc w:val="left"/>
        <w:rPr>
          <w:rFonts w:ascii="Times New Roman" w:hAnsi="Times New Roman"/>
        </w:rPr>
        <w:sectPr>
          <w:pgSz w:w="16839" w:h="11907" w:orient="landscape"/>
          <w:pgMar w:top="1304" w:right="1984" w:bottom="1304" w:left="1134" w:header="851" w:footer="851" w:gutter="0"/>
          <w:paperSrc w:first="7" w:other="7"/>
          <w:pgNumType w:fmt="decimal"/>
          <w:cols w:space="720" w:num="1"/>
          <w:docGrid w:linePitch="312" w:charSpace="0"/>
        </w:sectPr>
      </w:pPr>
    </w:p>
    <w:p>
      <w:pPr>
        <w:spacing w:line="300" w:lineRule="exact"/>
        <w:ind w:firstLine="420" w:firstLineChars="200"/>
        <w:jc w:val="left"/>
        <w:rPr>
          <w:rFonts w:ascii="Times New Roman" w:hAnsi="Times New Roman"/>
        </w:rPr>
      </w:pPr>
    </w:p>
    <w:p>
      <w:pPr>
        <w:ind w:firstLine="1680" w:firstLineChars="600"/>
        <w:jc w:val="left"/>
        <w:outlineLvl w:val="3"/>
        <w:rPr>
          <w:rFonts w:ascii="Times New Roman" w:hAnsi="Times New Roman"/>
          <w:b w:val="0"/>
          <w:bCs/>
          <w:sz w:val="28"/>
        </w:rPr>
      </w:pPr>
      <w:bookmarkStart w:id="7" w:name="_Toc63782118"/>
      <w:r>
        <w:rPr>
          <w:rFonts w:hint="eastAsia" w:ascii="Times New Roman" w:hAnsi="Times New Roman" w:eastAsia="方正仿宋_GBK"/>
          <w:b w:val="0"/>
          <w:bCs/>
          <w:sz w:val="28"/>
          <w:lang w:val="en-US" w:eastAsia="zh-CN"/>
        </w:rPr>
        <w:t>8、</w:t>
      </w:r>
      <w:r>
        <w:rPr>
          <w:rFonts w:ascii="Times New Roman" w:hAnsi="Times New Roman" w:eastAsia="方正仿宋_GBK"/>
          <w:b w:val="0"/>
          <w:bCs/>
          <w:sz w:val="28"/>
        </w:rPr>
        <w:t>公立医院承担公共卫生项目补助资金绩效目标表</w:t>
      </w:r>
      <w:bookmarkEnd w:id="7"/>
      <w:r>
        <w:rPr>
          <w:b w:val="0"/>
          <w:bCs/>
        </w:rPr>
        <w:fldChar w:fldCharType="begin"/>
      </w:r>
      <w:r>
        <w:rPr>
          <w:rFonts w:ascii="Times New Roman" w:hAnsi="Times New Roman" w:eastAsia="方正仿宋_GBK"/>
          <w:b w:val="0"/>
          <w:bCs/>
          <w:sz w:val="28"/>
        </w:rPr>
        <w:instrText xml:space="preserve"> TC 86、公立医院承担公共卫生项目补助资金绩效目标表 \f C \l 1 </w:instrText>
      </w:r>
      <w:r>
        <w:rPr>
          <w:rFonts w:ascii="Times New Roman" w:hAnsi="Times New Roman" w:eastAsia="方正仿宋_GBK"/>
          <w:b w:val="0"/>
          <w:bCs/>
          <w:sz w:val="28"/>
        </w:rPr>
        <w:fldChar w:fldCharType="end"/>
      </w:r>
    </w:p>
    <w:tbl>
      <w:tblPr>
        <w:tblStyle w:val="4"/>
        <w:tblpPr w:leftFromText="180" w:rightFromText="180" w:vertAnchor="text" w:horzAnchor="page" w:tblpX="2534" w:tblpY="643"/>
        <w:tblOverlap w:val="never"/>
        <w:tblW w:w="1171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5"/>
        <w:gridCol w:w="96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746" w:hRule="atLeast"/>
        </w:trPr>
        <w:tc>
          <w:tcPr>
            <w:tcW w:w="2105" w:type="dxa"/>
            <w:tcBorders>
              <w:bottom w:val="nil"/>
            </w:tcBorders>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绩效目标</w:t>
            </w:r>
          </w:p>
        </w:tc>
        <w:tc>
          <w:tcPr>
            <w:tcW w:w="9614" w:type="dxa"/>
            <w:tcBorders>
              <w:bottom w:val="nil"/>
            </w:tcBorders>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1.通过项目实施，完善对口支援医院的学科建设，临床科室建设，医院管理规范等工作，帮助受援单位提高医疗救治能力及诊疗技术水平，逐步提高贫困县乡镇卫生院常见病、多发病的诊疗能力。</w:t>
            </w:r>
          </w:p>
          <w:p>
            <w:pPr>
              <w:spacing w:line="300" w:lineRule="exact"/>
              <w:jc w:val="left"/>
              <w:rPr>
                <w:rFonts w:ascii="Times New Roman" w:hAnsi="Times New Roman" w:eastAsia="方正书宋_GBK"/>
              </w:rPr>
            </w:pPr>
            <w:r>
              <w:rPr>
                <w:rFonts w:ascii="Times New Roman" w:hAnsi="Times New Roman" w:eastAsia="方正书宋_GBK"/>
              </w:rPr>
              <w:t>2.项目资金5万元，主要用于8名支援医师的补助发放，补助的及时发放提高医师的工作积极性，实现支援医院服务能力的持续提升。</w:t>
            </w:r>
          </w:p>
        </w:tc>
      </w:tr>
    </w:tbl>
    <w:tbl>
      <w:tblPr>
        <w:tblStyle w:val="4"/>
        <w:tblpPr w:leftFromText="180" w:rightFromText="180" w:vertAnchor="text" w:horzAnchor="page" w:tblpX="2534" w:tblpY="2478"/>
        <w:tblOverlap w:val="never"/>
        <w:tblW w:w="1172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5"/>
        <w:gridCol w:w="1880"/>
        <w:gridCol w:w="1408"/>
        <w:gridCol w:w="2862"/>
        <w:gridCol w:w="1292"/>
        <w:gridCol w:w="21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trPr>
        <w:tc>
          <w:tcPr>
            <w:tcW w:w="2105"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一级指标</w:t>
            </w:r>
          </w:p>
        </w:tc>
        <w:tc>
          <w:tcPr>
            <w:tcW w:w="1880"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二级指标</w:t>
            </w:r>
          </w:p>
        </w:tc>
        <w:tc>
          <w:tcPr>
            <w:tcW w:w="1408"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三级指标</w:t>
            </w:r>
          </w:p>
        </w:tc>
        <w:tc>
          <w:tcPr>
            <w:tcW w:w="286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绩效指标描述</w:t>
            </w:r>
          </w:p>
        </w:tc>
        <w:tc>
          <w:tcPr>
            <w:tcW w:w="1292"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w:t>
            </w:r>
          </w:p>
        </w:tc>
        <w:tc>
          <w:tcPr>
            <w:tcW w:w="2174" w:type="dxa"/>
            <w:noWrap w:val="0"/>
            <w:vAlign w:val="center"/>
          </w:tcPr>
          <w:p>
            <w:pPr>
              <w:spacing w:line="300" w:lineRule="exact"/>
              <w:jc w:val="center"/>
              <w:rPr>
                <w:rFonts w:ascii="Times New Roman" w:hAnsi="Times New Roman" w:eastAsia="方正书宋_GBK"/>
                <w:b/>
              </w:rPr>
            </w:pPr>
            <w:r>
              <w:rPr>
                <w:rFonts w:ascii="Times New Roman" w:hAnsi="Times New Roman"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产出指标</w:t>
            </w: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数量指标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发放补贴人数</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考察支援医师补贴发放人数</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8人</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对口帮扶协议、派驻人员名单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vMerge w:val="continue"/>
            <w:noWrap w:val="0"/>
            <w:vAlign w:val="center"/>
          </w:tcPr>
          <w:p>
            <w:pPr>
              <w:spacing w:line="300" w:lineRule="exact"/>
              <w:jc w:val="center"/>
              <w:rPr>
                <w:rFonts w:ascii="Times New Roman" w:hAnsi="Times New Roman" w:eastAsia="方正书宋_GBK"/>
              </w:rPr>
            </w:pP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质量指标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补助发放率</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对口支援派驻人员补助实际发放情况</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100%</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补助发放表、财务支出凭证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vMerge w:val="continue"/>
            <w:noWrap w:val="0"/>
            <w:vAlign w:val="center"/>
          </w:tcPr>
          <w:p>
            <w:pPr>
              <w:spacing w:line="300" w:lineRule="exact"/>
              <w:jc w:val="center"/>
              <w:rPr>
                <w:rFonts w:ascii="Times New Roman" w:hAnsi="Times New Roman" w:eastAsia="方正书宋_GBK"/>
              </w:rPr>
            </w:pP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时效指标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补助资金发放及时性</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考察补助发放时间</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≤12月</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补助发放表、财务支出凭证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vMerge w:val="continue"/>
            <w:noWrap w:val="0"/>
            <w:vAlign w:val="center"/>
          </w:tcPr>
          <w:p>
            <w:pPr>
              <w:spacing w:line="300" w:lineRule="exact"/>
              <w:jc w:val="center"/>
              <w:rPr>
                <w:rFonts w:ascii="Times New Roman" w:hAnsi="Times New Roman" w:eastAsia="方正书宋_GBK"/>
              </w:rPr>
            </w:pP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成本指标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人均补助金额</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考察支援医师人均补助金额</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520元/月</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财务支出凭证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vMerge w:val="restart"/>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效益指标</w:t>
            </w: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社会效益指标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受援医院就诊率提高情况</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考核受援医院就诊率提高情况</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较上一年提高</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病患病例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vMerge w:val="continue"/>
            <w:noWrap w:val="0"/>
            <w:vAlign w:val="center"/>
          </w:tcPr>
          <w:p>
            <w:pPr>
              <w:spacing w:line="300" w:lineRule="exact"/>
              <w:jc w:val="center"/>
              <w:rPr>
                <w:rFonts w:ascii="Times New Roman" w:hAnsi="Times New Roman" w:eastAsia="方正书宋_GBK"/>
              </w:rPr>
            </w:pP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可持续影响指标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建立健全长效机制</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项目后续管理机制</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健全</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长效管理办法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rPr>
        <w:tc>
          <w:tcPr>
            <w:tcW w:w="2105" w:type="dxa"/>
            <w:noWrap w:val="0"/>
            <w:vAlign w:val="center"/>
          </w:tcPr>
          <w:p>
            <w:pPr>
              <w:spacing w:line="300" w:lineRule="exact"/>
              <w:jc w:val="center"/>
              <w:rPr>
                <w:rFonts w:ascii="Times New Roman" w:hAnsi="Times New Roman" w:eastAsia="方正书宋_GBK"/>
              </w:rPr>
            </w:pPr>
            <w:r>
              <w:rPr>
                <w:rFonts w:ascii="Times New Roman" w:hAnsi="Times New Roman" w:eastAsia="方正书宋_GBK"/>
              </w:rPr>
              <w:t>满意度指标</w:t>
            </w:r>
          </w:p>
        </w:tc>
        <w:tc>
          <w:tcPr>
            <w:tcW w:w="1880"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服务对象满意度指标</w:t>
            </w:r>
          </w:p>
        </w:tc>
        <w:tc>
          <w:tcPr>
            <w:tcW w:w="1408"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补助人员满意度</w:t>
            </w:r>
          </w:p>
        </w:tc>
        <w:tc>
          <w:tcPr>
            <w:tcW w:w="286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调查接受补助人员满意情况</w:t>
            </w:r>
          </w:p>
        </w:tc>
        <w:tc>
          <w:tcPr>
            <w:tcW w:w="1292"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≥90%</w:t>
            </w:r>
          </w:p>
        </w:tc>
        <w:tc>
          <w:tcPr>
            <w:tcW w:w="2174" w:type="dxa"/>
            <w:noWrap w:val="0"/>
            <w:vAlign w:val="center"/>
          </w:tcPr>
          <w:p>
            <w:pPr>
              <w:spacing w:line="300" w:lineRule="exact"/>
              <w:jc w:val="left"/>
              <w:rPr>
                <w:rFonts w:ascii="Times New Roman" w:hAnsi="Times New Roman" w:eastAsia="方正书宋_GBK"/>
              </w:rPr>
            </w:pPr>
            <w:r>
              <w:rPr>
                <w:rFonts w:ascii="Times New Roman" w:hAnsi="Times New Roman" w:eastAsia="方正书宋_GBK"/>
              </w:rPr>
              <w:t>问卷调查</w:t>
            </w:r>
          </w:p>
        </w:tc>
      </w:tr>
    </w:tbl>
    <w:p>
      <w:pPr>
        <w:spacing w:line="14" w:lineRule="exact"/>
        <w:ind w:firstLine="420" w:firstLineChars="200"/>
        <w:jc w:val="center"/>
        <w:rPr>
          <w:rFonts w:ascii="Times New Roman" w:hAnsi="Times New Roman"/>
        </w:rPr>
      </w:pPr>
      <w:r>
        <w:rPr>
          <w:rFonts w:ascii="Times New Roman" w:hAnsi="Times New Roman" w:eastAsia="方正书宋_GBK"/>
        </w:rPr>
        <w:t xml:space="preserve"> </w:t>
      </w:r>
    </w:p>
    <w:p>
      <w:pPr>
        <w:autoSpaceDE w:val="0"/>
        <w:autoSpaceDN w:val="0"/>
        <w:adjustRightInd w:val="0"/>
        <w:spacing w:line="584" w:lineRule="exact"/>
        <w:ind w:firstLine="14720" w:firstLineChars="4600"/>
        <w:jc w:val="left"/>
        <w:rPr>
          <w:rFonts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 xml:space="preserve">          </w:t>
      </w:r>
    </w:p>
    <w:p>
      <w:pPr>
        <w:spacing w:line="584" w:lineRule="exact"/>
        <w:ind w:firstLine="640" w:firstLineChars="200"/>
        <w:outlineLvl w:val="0"/>
        <w:rPr>
          <w:rFonts w:ascii="Times New Roman" w:hAnsi="Times New Roman" w:eastAsia="仿宋_GB2312" w:cs="Times New Roman"/>
          <w:sz w:val="32"/>
          <w:szCs w:val="24"/>
        </w:rPr>
      </w:pPr>
      <w:bookmarkStart w:id="8" w:name="_Toc471398468"/>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spacing w:line="584" w:lineRule="exact"/>
        <w:ind w:firstLine="640" w:firstLineChars="200"/>
        <w:outlineLvl w:val="0"/>
        <w:rPr>
          <w:rFonts w:ascii="Times New Roman" w:hAnsi="Times New Roman" w:eastAsia="仿宋_GB2312" w:cs="Times New Roman"/>
          <w:sz w:val="32"/>
          <w:szCs w:val="24"/>
        </w:r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六、政府采购预算情况</w:t>
      </w:r>
    </w:p>
    <w:p>
      <w:pPr>
        <w:spacing w:line="584" w:lineRule="exact"/>
        <w:ind w:firstLine="640" w:firstLineChars="200"/>
        <w:outlineLvl w:val="0"/>
        <w:rPr>
          <w:rFonts w:ascii="Times New Roman" w:hAnsi="Times New Roman" w:eastAsia="仿宋_GB2312" w:cs="Times New Roman"/>
          <w:sz w:val="32"/>
          <w:szCs w:val="24"/>
        </w:rPr>
      </w:pPr>
      <w:r>
        <w:rPr>
          <w:rFonts w:ascii="Times New Roman" w:hAnsi="Times New Roman" w:eastAsia="仿宋_GB2312" w:cs="Times New Roman"/>
          <w:sz w:val="32"/>
          <w:szCs w:val="24"/>
        </w:rPr>
        <w:t>20</w:t>
      </w:r>
      <w:r>
        <w:rPr>
          <w:rFonts w:hint="eastAsia" w:ascii="Times New Roman" w:hAnsi="Times New Roman" w:eastAsia="仿宋_GB2312" w:cs="Times New Roman"/>
          <w:sz w:val="32"/>
          <w:szCs w:val="24"/>
        </w:rPr>
        <w:t>21</w:t>
      </w:r>
      <w:r>
        <w:rPr>
          <w:rFonts w:ascii="Times New Roman" w:hAnsi="Times New Roman" w:eastAsia="仿宋_GB2312" w:cs="Times New Roman"/>
          <w:sz w:val="32"/>
          <w:szCs w:val="24"/>
        </w:rPr>
        <w:t>年，我部门安排政府采购预算</w:t>
      </w:r>
      <w:r>
        <w:rPr>
          <w:rFonts w:hint="eastAsia" w:ascii="Times New Roman" w:hAnsi="Times New Roman" w:eastAsia="仿宋_GB2312" w:cs="Times New Roman"/>
          <w:sz w:val="32"/>
          <w:szCs w:val="24"/>
          <w:lang w:val="en-US" w:eastAsia="zh-CN"/>
        </w:rPr>
        <w:t>1765</w:t>
      </w:r>
      <w:r>
        <w:rPr>
          <w:rFonts w:ascii="Times New Roman" w:hAnsi="Times New Roman" w:eastAsia="仿宋_GB2312" w:cs="Times New Roman"/>
          <w:sz w:val="32"/>
          <w:szCs w:val="24"/>
        </w:rPr>
        <w:t>万元。具体内容见下表。</w:t>
      </w:r>
    </w:p>
    <w:bookmarkEnd w:id="8"/>
    <w:p>
      <w:pPr>
        <w:spacing w:line="584" w:lineRule="exact"/>
        <w:jc w:val="left"/>
        <w:outlineLvl w:val="0"/>
        <w:rPr>
          <w:rFonts w:ascii="Times New Roman" w:hAnsi="Times New Roman" w:eastAsia="仿宋_GB2312" w:cs="Times New Roman"/>
        </w:rPr>
      </w:pPr>
    </w:p>
    <w:tbl>
      <w:tblPr>
        <w:tblStyle w:val="4"/>
        <w:tblpPr w:leftFromText="180" w:rightFromText="180" w:vertAnchor="text" w:horzAnchor="page" w:tblpX="1067" w:tblpY="613"/>
        <w:tblOverlap w:val="never"/>
        <w:tblW w:w="15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15"/>
        <w:gridCol w:w="1012"/>
        <w:gridCol w:w="1531"/>
        <w:gridCol w:w="1531"/>
        <w:gridCol w:w="709"/>
        <w:gridCol w:w="907"/>
        <w:gridCol w:w="907"/>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trPr>
        <w:tc>
          <w:tcPr>
            <w:tcW w:w="8512"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hint="eastAsia" w:ascii="方正小标宋_GBK" w:eastAsia="方正小标宋_GBK" w:cs="Times New Roman"/>
                <w:sz w:val="24"/>
                <w:lang w:eastAsia="zh-CN"/>
              </w:rPr>
            </w:pPr>
            <w:bookmarkStart w:id="9" w:name="_Toc64920910"/>
            <w:r>
              <w:rPr>
                <w:rFonts w:ascii="方正小标宋_GBK" w:eastAsia="方正小标宋_GBK" w:cs="Times New Roman"/>
                <w:sz w:val="24"/>
              </w:rPr>
              <w:t>廊坊市</w:t>
            </w:r>
            <w:r>
              <w:rPr>
                <w:rFonts w:hint="eastAsia" w:ascii="方正小标宋_GBK" w:eastAsia="方正小标宋_GBK"/>
                <w:sz w:val="24"/>
                <w:lang w:eastAsia="zh-CN"/>
              </w:rPr>
              <w:t>中医医院</w:t>
            </w:r>
          </w:p>
        </w:tc>
        <w:tc>
          <w:tcPr>
            <w:tcW w:w="680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cs="Times New Roman"/>
                <w:sz w:val="24"/>
              </w:rPr>
            </w:pPr>
            <w:r>
              <w:rPr>
                <w:rFonts w:ascii="方正书宋_GBK" w:eastAsia="方正书宋_GBK" w:cs="Times New Roman"/>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trPr>
        <w:tc>
          <w:tcPr>
            <w:tcW w:w="2927" w:type="dxa"/>
            <w:gridSpan w:val="2"/>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政府采购项目来源</w:t>
            </w:r>
          </w:p>
        </w:tc>
        <w:tc>
          <w:tcPr>
            <w:tcW w:w="1531"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采购物品名称</w:t>
            </w:r>
          </w:p>
        </w:tc>
        <w:tc>
          <w:tcPr>
            <w:tcW w:w="1531"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政府采购目录序号</w:t>
            </w:r>
          </w:p>
        </w:tc>
        <w:tc>
          <w:tcPr>
            <w:tcW w:w="709"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计量  单位</w:t>
            </w:r>
          </w:p>
        </w:tc>
        <w:tc>
          <w:tcPr>
            <w:tcW w:w="907"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数量</w:t>
            </w:r>
          </w:p>
        </w:tc>
        <w:tc>
          <w:tcPr>
            <w:tcW w:w="907"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单价</w:t>
            </w:r>
          </w:p>
        </w:tc>
        <w:tc>
          <w:tcPr>
            <w:tcW w:w="6804" w:type="dxa"/>
            <w:gridSpan w:val="6"/>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trPr>
        <w:tc>
          <w:tcPr>
            <w:tcW w:w="1915"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项目名称</w:t>
            </w:r>
          </w:p>
        </w:tc>
        <w:tc>
          <w:tcPr>
            <w:tcW w:w="1012"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预算资金</w:t>
            </w:r>
          </w:p>
        </w:tc>
        <w:tc>
          <w:tcPr>
            <w:tcW w:w="1531" w:type="dxa"/>
            <w:vMerge w:val="continue"/>
            <w:shd w:val="clear" w:color="auto" w:fill="auto"/>
            <w:vAlign w:val="center"/>
          </w:tcPr>
          <w:p/>
        </w:tc>
        <w:tc>
          <w:tcPr>
            <w:tcW w:w="1531" w:type="dxa"/>
            <w:vMerge w:val="continue"/>
            <w:shd w:val="clear" w:color="auto" w:fill="auto"/>
            <w:vAlign w:val="center"/>
          </w:tcPr>
          <w:p/>
        </w:tc>
        <w:tc>
          <w:tcPr>
            <w:tcW w:w="709" w:type="dxa"/>
            <w:vMerge w:val="continue"/>
            <w:shd w:val="clear" w:color="auto" w:fill="auto"/>
            <w:vAlign w:val="center"/>
          </w:tcPr>
          <w:p/>
        </w:tc>
        <w:tc>
          <w:tcPr>
            <w:tcW w:w="907" w:type="dxa"/>
            <w:vMerge w:val="continue"/>
            <w:shd w:val="clear" w:color="auto" w:fill="auto"/>
            <w:vAlign w:val="center"/>
          </w:tcPr>
          <w:p/>
        </w:tc>
        <w:tc>
          <w:tcPr>
            <w:tcW w:w="907" w:type="dxa"/>
            <w:vMerge w:val="continue"/>
            <w:shd w:val="clear" w:color="auto" w:fill="auto"/>
            <w:vAlign w:val="center"/>
          </w:tcPr>
          <w:p/>
        </w:tc>
        <w:tc>
          <w:tcPr>
            <w:tcW w:w="113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合计</w:t>
            </w:r>
          </w:p>
        </w:tc>
        <w:tc>
          <w:tcPr>
            <w:tcW w:w="113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一般公共预算拨款</w:t>
            </w:r>
          </w:p>
        </w:tc>
        <w:tc>
          <w:tcPr>
            <w:tcW w:w="113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基金预算拨款</w:t>
            </w:r>
          </w:p>
        </w:tc>
        <w:tc>
          <w:tcPr>
            <w:tcW w:w="113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国有资本经营预算拨款</w:t>
            </w:r>
          </w:p>
        </w:tc>
        <w:tc>
          <w:tcPr>
            <w:tcW w:w="113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财政专户核拨</w:t>
            </w:r>
          </w:p>
        </w:tc>
        <w:tc>
          <w:tcPr>
            <w:tcW w:w="113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Pr>
        <w:tc>
          <w:tcPr>
            <w:tcW w:w="1915"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合  计</w:t>
            </w:r>
          </w:p>
        </w:tc>
        <w:tc>
          <w:tcPr>
            <w:tcW w:w="1012" w:type="dxa"/>
            <w:shd w:val="clear" w:color="auto" w:fill="auto"/>
            <w:vAlign w:val="center"/>
          </w:tcPr>
          <w:p>
            <w:pPr>
              <w:spacing w:line="300" w:lineRule="exact"/>
              <w:jc w:val="right"/>
              <w:rPr>
                <w:rFonts w:hint="default" w:ascii="方正书宋_GBK" w:eastAsia="方正书宋_GBK" w:cs="Times New Roman"/>
                <w:b/>
                <w:lang w:val="en-US" w:eastAsia="zh-CN"/>
              </w:rPr>
            </w:pPr>
            <w:r>
              <w:rPr>
                <w:rFonts w:hint="eastAsia" w:ascii="方正书宋_GBK" w:eastAsia="方正书宋_GBK" w:cs="Times New Roman"/>
                <w:b/>
                <w:lang w:val="en-US" w:eastAsia="zh-CN"/>
              </w:rPr>
              <w:t>1765</w:t>
            </w:r>
          </w:p>
        </w:tc>
        <w:tc>
          <w:tcPr>
            <w:tcW w:w="1531" w:type="dxa"/>
            <w:shd w:val="clear" w:color="auto" w:fill="auto"/>
            <w:vAlign w:val="center"/>
          </w:tcPr>
          <w:p>
            <w:pPr>
              <w:spacing w:line="300" w:lineRule="exact"/>
              <w:jc w:val="left"/>
              <w:rPr>
                <w:rFonts w:ascii="方正书宋_GBK" w:eastAsia="方正书宋_GBK" w:cs="Times New Roman"/>
                <w:b/>
              </w:rPr>
            </w:pPr>
          </w:p>
        </w:tc>
        <w:tc>
          <w:tcPr>
            <w:tcW w:w="1531" w:type="dxa"/>
            <w:shd w:val="clear" w:color="auto" w:fill="auto"/>
            <w:vAlign w:val="center"/>
          </w:tcPr>
          <w:p>
            <w:pPr>
              <w:spacing w:line="300" w:lineRule="exact"/>
              <w:jc w:val="left"/>
              <w:rPr>
                <w:rFonts w:ascii="方正书宋_GBK" w:eastAsia="方正书宋_GBK" w:cs="Times New Roman"/>
                <w:b/>
              </w:rPr>
            </w:pPr>
          </w:p>
        </w:tc>
        <w:tc>
          <w:tcPr>
            <w:tcW w:w="709" w:type="dxa"/>
            <w:shd w:val="clear" w:color="auto" w:fill="auto"/>
            <w:vAlign w:val="center"/>
          </w:tcPr>
          <w:p>
            <w:pPr>
              <w:spacing w:line="300" w:lineRule="exact"/>
              <w:jc w:val="center"/>
              <w:rPr>
                <w:rFonts w:ascii="方正书宋_GBK" w:eastAsia="方正书宋_GBK" w:cs="Times New Roman"/>
                <w:b/>
              </w:rPr>
            </w:pPr>
          </w:p>
        </w:tc>
        <w:tc>
          <w:tcPr>
            <w:tcW w:w="907" w:type="dxa"/>
            <w:shd w:val="clear" w:color="auto" w:fill="auto"/>
            <w:vAlign w:val="center"/>
          </w:tcPr>
          <w:p>
            <w:pPr>
              <w:spacing w:line="300" w:lineRule="exact"/>
              <w:jc w:val="right"/>
              <w:rPr>
                <w:rFonts w:ascii="方正书宋_GBK" w:eastAsia="方正书宋_GBK" w:cs="Times New Roman"/>
                <w:b/>
              </w:rPr>
            </w:pPr>
          </w:p>
        </w:tc>
        <w:tc>
          <w:tcPr>
            <w:tcW w:w="907" w:type="dxa"/>
            <w:shd w:val="clear" w:color="auto" w:fill="auto"/>
            <w:vAlign w:val="center"/>
          </w:tcPr>
          <w:p>
            <w:pPr>
              <w:spacing w:line="300" w:lineRule="exact"/>
              <w:jc w:val="right"/>
              <w:rPr>
                <w:rFonts w:ascii="方正书宋_GBK" w:eastAsia="方正书宋_GBK" w:cs="Times New Roman"/>
                <w:b/>
              </w:rPr>
            </w:pPr>
          </w:p>
        </w:tc>
        <w:tc>
          <w:tcPr>
            <w:tcW w:w="1134" w:type="dxa"/>
            <w:shd w:val="clear" w:color="auto" w:fill="auto"/>
            <w:vAlign w:val="center"/>
          </w:tcPr>
          <w:p>
            <w:pPr>
              <w:spacing w:line="300" w:lineRule="exact"/>
              <w:jc w:val="right"/>
              <w:rPr>
                <w:rFonts w:hint="default" w:ascii="方正书宋_GBK" w:eastAsia="方正书宋_GBK" w:cs="Times New Roman"/>
                <w:b/>
                <w:lang w:val="en-US" w:eastAsia="zh-CN"/>
              </w:rPr>
            </w:pPr>
            <w:r>
              <w:rPr>
                <w:rFonts w:hint="eastAsia" w:ascii="方正书宋_GBK" w:eastAsia="方正书宋_GBK" w:cs="Times New Roman"/>
                <w:b/>
                <w:lang w:val="en-US" w:eastAsia="zh-CN"/>
              </w:rPr>
              <w:t>1765</w:t>
            </w:r>
          </w:p>
        </w:tc>
        <w:tc>
          <w:tcPr>
            <w:tcW w:w="1134" w:type="dxa"/>
            <w:shd w:val="clear" w:color="auto" w:fill="auto"/>
            <w:vAlign w:val="center"/>
          </w:tcPr>
          <w:p>
            <w:pPr>
              <w:spacing w:line="300" w:lineRule="exact"/>
              <w:jc w:val="right"/>
              <w:rPr>
                <w:rFonts w:hint="eastAsia" w:ascii="方正书宋_GBK" w:eastAsia="方正书宋_GBK" w:cs="Times New Roman"/>
                <w:b/>
                <w:lang w:val="en-US" w:eastAsia="zh-CN"/>
              </w:rPr>
            </w:pPr>
            <w:r>
              <w:rPr>
                <w:rFonts w:hint="eastAsia" w:ascii="方正书宋_GBK" w:eastAsia="方正书宋_GBK" w:cs="Times New Roman"/>
                <w:b/>
                <w:lang w:val="en-US" w:eastAsia="zh-CN"/>
              </w:rPr>
              <w:t>1115</w:t>
            </w:r>
          </w:p>
        </w:tc>
        <w:tc>
          <w:tcPr>
            <w:tcW w:w="1134" w:type="dxa"/>
            <w:shd w:val="clear" w:color="auto" w:fill="auto"/>
            <w:vAlign w:val="center"/>
          </w:tcPr>
          <w:p>
            <w:pPr>
              <w:spacing w:line="300" w:lineRule="exact"/>
              <w:jc w:val="right"/>
              <w:rPr>
                <w:rFonts w:ascii="方正书宋_GBK" w:eastAsia="方正书宋_GBK" w:cs="Times New Roman"/>
                <w:b/>
              </w:rPr>
            </w:pPr>
          </w:p>
        </w:tc>
        <w:tc>
          <w:tcPr>
            <w:tcW w:w="1134" w:type="dxa"/>
            <w:shd w:val="clear" w:color="auto" w:fill="auto"/>
            <w:vAlign w:val="center"/>
          </w:tcPr>
          <w:p>
            <w:pPr>
              <w:spacing w:line="300" w:lineRule="exact"/>
              <w:jc w:val="right"/>
              <w:rPr>
                <w:rFonts w:ascii="方正书宋_GBK" w:eastAsia="方正书宋_GBK" w:cs="Times New Roman"/>
                <w:b/>
              </w:rPr>
            </w:pPr>
          </w:p>
        </w:tc>
        <w:tc>
          <w:tcPr>
            <w:tcW w:w="1134" w:type="dxa"/>
            <w:shd w:val="clear" w:color="auto" w:fill="auto"/>
            <w:vAlign w:val="center"/>
          </w:tcPr>
          <w:p>
            <w:pPr>
              <w:spacing w:line="300" w:lineRule="exact"/>
              <w:jc w:val="right"/>
              <w:rPr>
                <w:rFonts w:ascii="方正书宋_GBK" w:eastAsia="方正书宋_GBK" w:cs="Times New Roman"/>
                <w:b/>
              </w:rPr>
            </w:pPr>
          </w:p>
        </w:tc>
        <w:tc>
          <w:tcPr>
            <w:tcW w:w="1134" w:type="dxa"/>
            <w:shd w:val="clear" w:color="auto" w:fill="auto"/>
            <w:vAlign w:val="center"/>
          </w:tcPr>
          <w:p>
            <w:pPr>
              <w:spacing w:line="300" w:lineRule="exact"/>
              <w:jc w:val="right"/>
              <w:rPr>
                <w:rFonts w:hint="default" w:ascii="方正书宋_GBK" w:eastAsia="方正书宋_GBK" w:cs="Times New Roman"/>
                <w:b/>
                <w:lang w:val="en-US" w:eastAsia="zh-CN"/>
              </w:rPr>
            </w:pPr>
            <w:r>
              <w:rPr>
                <w:rFonts w:hint="eastAsia" w:ascii="方正书宋_GBK" w:eastAsia="方正书宋_GBK" w:cs="Times New Roman"/>
                <w:b/>
                <w:lang w:val="en-US" w:eastAsia="zh-CN"/>
              </w:rPr>
              <w:t>530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hint="eastAsia" w:ascii="方正书宋_GBK" w:eastAsia="方正书宋_GBK" w:cs="Times New Roman"/>
                <w:b/>
                <w:sz w:val="15"/>
                <w:szCs w:val="15"/>
                <w:lang w:val="en-US" w:eastAsia="zh-CN"/>
              </w:rPr>
            </w:pPr>
            <w:r>
              <w:rPr>
                <w:rFonts w:hint="eastAsia" w:ascii="方正书宋_GBK" w:eastAsia="方正书宋_GBK" w:cs="Times New Roman"/>
                <w:b w:val="0"/>
                <w:bCs/>
                <w:sz w:val="15"/>
                <w:szCs w:val="15"/>
                <w:lang w:val="en-US" w:eastAsia="zh-CN"/>
              </w:rPr>
              <w:t>住院收费处及药房改造项目</w:t>
            </w:r>
          </w:p>
        </w:tc>
        <w:tc>
          <w:tcPr>
            <w:tcW w:w="1012" w:type="dxa"/>
            <w:shd w:val="clear" w:color="auto" w:fill="auto"/>
            <w:vAlign w:val="center"/>
          </w:tcPr>
          <w:p>
            <w:pPr>
              <w:spacing w:line="300" w:lineRule="exact"/>
              <w:jc w:val="right"/>
              <w:rPr>
                <w:rFonts w:hint="eastAsia" w:ascii="方正书宋_GBK" w:eastAsia="方正书宋_GBK" w:cs="Times New Roman"/>
                <w:b w:val="0"/>
                <w:bCs/>
                <w:lang w:val="en-US" w:eastAsia="zh-CN"/>
              </w:rPr>
            </w:pPr>
            <w:r>
              <w:rPr>
                <w:rFonts w:hint="eastAsia" w:ascii="方正书宋_GBK" w:eastAsia="方正书宋_GBK" w:cs="Times New Roman"/>
                <w:b w:val="0"/>
                <w:bCs/>
                <w:lang w:val="en-US" w:eastAsia="zh-CN"/>
              </w:rPr>
              <w:t>115</w:t>
            </w:r>
          </w:p>
        </w:tc>
        <w:tc>
          <w:tcPr>
            <w:tcW w:w="1531" w:type="dxa"/>
            <w:shd w:val="clear" w:color="auto" w:fill="auto"/>
            <w:vAlign w:val="center"/>
          </w:tcPr>
          <w:p>
            <w:pPr>
              <w:spacing w:line="300" w:lineRule="exact"/>
              <w:jc w:val="left"/>
              <w:rPr>
                <w:rFonts w:hint="eastAsia" w:ascii="方正书宋_GBK" w:eastAsia="方正书宋_GBK" w:cs="Times New Roman"/>
                <w:b w:val="0"/>
                <w:bCs/>
                <w:sz w:val="15"/>
                <w:szCs w:val="15"/>
                <w:lang w:eastAsia="zh-CN"/>
              </w:rPr>
            </w:pPr>
            <w:r>
              <w:rPr>
                <w:rFonts w:hint="eastAsia" w:ascii="方正书宋_GBK" w:eastAsia="方正书宋_GBK" w:cs="Times New Roman"/>
                <w:b w:val="0"/>
                <w:bCs/>
                <w:sz w:val="15"/>
                <w:szCs w:val="15"/>
                <w:lang w:eastAsia="zh-CN"/>
              </w:rPr>
              <w:t>房屋修缮</w:t>
            </w:r>
          </w:p>
        </w:tc>
        <w:tc>
          <w:tcPr>
            <w:tcW w:w="1531" w:type="dxa"/>
            <w:shd w:val="clear" w:color="auto" w:fill="auto"/>
            <w:vAlign w:val="center"/>
          </w:tcPr>
          <w:p>
            <w:pPr>
              <w:spacing w:line="300" w:lineRule="exact"/>
              <w:jc w:val="left"/>
              <w:rPr>
                <w:rFonts w:ascii="方正书宋_GBK" w:eastAsia="方正书宋_GBK" w:cs="Times New Roman"/>
                <w:b w:val="0"/>
                <w:bCs/>
              </w:rPr>
            </w:pPr>
          </w:p>
        </w:tc>
        <w:tc>
          <w:tcPr>
            <w:tcW w:w="709" w:type="dxa"/>
            <w:shd w:val="clear" w:color="auto" w:fill="auto"/>
            <w:vAlign w:val="center"/>
          </w:tcPr>
          <w:p>
            <w:pPr>
              <w:spacing w:line="300" w:lineRule="exact"/>
              <w:jc w:val="center"/>
              <w:rPr>
                <w:rFonts w:hint="eastAsia" w:ascii="方正书宋_GBK" w:eastAsia="方正书宋_GBK" w:cs="Times New Roman"/>
                <w:b w:val="0"/>
                <w:bCs/>
                <w:sz w:val="15"/>
                <w:szCs w:val="15"/>
                <w:lang w:eastAsia="zh-CN"/>
              </w:rPr>
            </w:pPr>
            <w:r>
              <w:rPr>
                <w:rFonts w:hint="eastAsia" w:ascii="方正书宋_GBK" w:eastAsia="方正书宋_GBK" w:cs="Times New Roman"/>
                <w:b w:val="0"/>
                <w:bCs/>
                <w:sz w:val="15"/>
                <w:szCs w:val="15"/>
                <w:lang w:eastAsia="zh-CN"/>
              </w:rPr>
              <w:t>项</w:t>
            </w:r>
          </w:p>
        </w:tc>
        <w:tc>
          <w:tcPr>
            <w:tcW w:w="907" w:type="dxa"/>
            <w:shd w:val="clear" w:color="auto" w:fill="auto"/>
            <w:vAlign w:val="center"/>
          </w:tcPr>
          <w:p>
            <w:pPr>
              <w:spacing w:line="300" w:lineRule="exact"/>
              <w:jc w:val="right"/>
              <w:rPr>
                <w:rFonts w:hint="eastAsia" w:ascii="方正书宋_GBK" w:eastAsia="方正书宋_GBK" w:cs="Times New Roman"/>
                <w:b w:val="0"/>
                <w:bCs/>
                <w:lang w:val="en-US" w:eastAsia="zh-CN"/>
              </w:rPr>
            </w:pPr>
            <w:r>
              <w:rPr>
                <w:rFonts w:hint="eastAsia" w:ascii="方正书宋_GBK" w:eastAsia="方正书宋_GBK" w:cs="Times New Roman"/>
                <w:b w:val="0"/>
                <w:bCs/>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b w:val="0"/>
                <w:bCs/>
                <w:lang w:val="en-US" w:eastAsia="zh-CN"/>
              </w:rPr>
            </w:pPr>
            <w:r>
              <w:rPr>
                <w:rFonts w:hint="eastAsia" w:ascii="方正书宋_GBK" w:eastAsia="方正书宋_GBK" w:cs="Times New Roman"/>
                <w:b w:val="0"/>
                <w:bCs/>
                <w:lang w:val="en-US" w:eastAsia="zh-CN"/>
              </w:rPr>
              <w:t>115</w:t>
            </w:r>
          </w:p>
        </w:tc>
        <w:tc>
          <w:tcPr>
            <w:tcW w:w="1134" w:type="dxa"/>
            <w:shd w:val="clear" w:color="auto" w:fill="auto"/>
            <w:vAlign w:val="center"/>
          </w:tcPr>
          <w:p>
            <w:pPr>
              <w:spacing w:line="300" w:lineRule="exact"/>
              <w:jc w:val="right"/>
              <w:rPr>
                <w:rFonts w:hint="eastAsia" w:ascii="方正书宋_GBK" w:eastAsia="方正书宋_GBK" w:cs="Times New Roman"/>
                <w:b w:val="0"/>
                <w:bCs/>
                <w:lang w:val="en-US" w:eastAsia="zh-CN"/>
              </w:rPr>
            </w:pPr>
            <w:r>
              <w:rPr>
                <w:rFonts w:hint="eastAsia" w:ascii="方正书宋_GBK" w:eastAsia="方正书宋_GBK" w:cs="Times New Roman"/>
                <w:b w:val="0"/>
                <w:bCs/>
                <w:lang w:val="en-US" w:eastAsia="zh-CN"/>
              </w:rPr>
              <w:t>115</w:t>
            </w:r>
          </w:p>
        </w:tc>
        <w:tc>
          <w:tcPr>
            <w:tcW w:w="1134" w:type="dxa"/>
            <w:shd w:val="clear" w:color="auto" w:fill="auto"/>
            <w:vAlign w:val="center"/>
          </w:tcPr>
          <w:p>
            <w:pPr>
              <w:spacing w:line="300" w:lineRule="exact"/>
              <w:jc w:val="right"/>
              <w:rPr>
                <w:rFonts w:hint="eastAsia" w:ascii="方正书宋_GBK" w:eastAsia="方正书宋_GBK" w:cs="Times New Roman"/>
                <w:b w:val="0"/>
                <w:bCs/>
                <w:lang w:val="en-US" w:eastAsia="zh-CN"/>
              </w:rPr>
            </w:pPr>
            <w:r>
              <w:rPr>
                <w:rFonts w:hint="eastAsia" w:ascii="方正书宋_GBK" w:eastAsia="方正书宋_GBK" w:cs="Times New Roman"/>
                <w:b w:val="0"/>
                <w:bCs/>
                <w:lang w:val="en-US" w:eastAsia="zh-CN"/>
              </w:rPr>
              <w:t>115</w:t>
            </w:r>
          </w:p>
        </w:tc>
        <w:tc>
          <w:tcPr>
            <w:tcW w:w="1134" w:type="dxa"/>
            <w:shd w:val="clear" w:color="auto" w:fill="auto"/>
            <w:vAlign w:val="center"/>
          </w:tcPr>
          <w:p>
            <w:pPr>
              <w:spacing w:line="300" w:lineRule="exact"/>
              <w:jc w:val="right"/>
              <w:rPr>
                <w:rFonts w:ascii="方正书宋_GBK" w:eastAsia="方正书宋_GBK" w:cs="Times New Roman"/>
                <w:b w:val="0"/>
                <w:bCs/>
              </w:rPr>
            </w:pPr>
          </w:p>
        </w:tc>
        <w:tc>
          <w:tcPr>
            <w:tcW w:w="1134" w:type="dxa"/>
            <w:shd w:val="clear" w:color="auto" w:fill="auto"/>
            <w:vAlign w:val="center"/>
          </w:tcPr>
          <w:p>
            <w:pPr>
              <w:spacing w:line="300" w:lineRule="exact"/>
              <w:jc w:val="right"/>
              <w:rPr>
                <w:rFonts w:ascii="方正书宋_GBK" w:eastAsia="方正书宋_GBK" w:cs="Times New Roman"/>
                <w:b w:val="0"/>
                <w:bCs/>
              </w:rPr>
            </w:pPr>
          </w:p>
        </w:tc>
        <w:tc>
          <w:tcPr>
            <w:tcW w:w="1134" w:type="dxa"/>
            <w:shd w:val="clear" w:color="auto" w:fill="auto"/>
            <w:vAlign w:val="center"/>
          </w:tcPr>
          <w:p>
            <w:pPr>
              <w:spacing w:line="300" w:lineRule="exact"/>
              <w:jc w:val="right"/>
              <w:rPr>
                <w:rFonts w:ascii="方正书宋_GBK" w:eastAsia="方正书宋_GBK" w:cs="Times New Roman"/>
                <w:b w:val="0"/>
                <w:bCs/>
              </w:rPr>
            </w:pPr>
          </w:p>
        </w:tc>
        <w:tc>
          <w:tcPr>
            <w:tcW w:w="1134" w:type="dxa"/>
            <w:shd w:val="clear" w:color="auto" w:fill="auto"/>
            <w:vAlign w:val="center"/>
          </w:tcPr>
          <w:p>
            <w:pPr>
              <w:spacing w:line="300" w:lineRule="exact"/>
              <w:jc w:val="right"/>
              <w:rPr>
                <w:rFonts w:ascii="方正书宋_GBK" w:eastAsia="方正书宋_GBK" w:cs="Times New Roman"/>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肿瘤专科建设项目资金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860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val="en-US" w:eastAsia="zh-CN"/>
              </w:rPr>
            </w:pPr>
            <w:r>
              <w:rPr>
                <w:rFonts w:hint="eastAsia" w:ascii="方正书宋_GBK" w:eastAsia="方正书宋_GBK" w:cs="Times New Roman"/>
                <w:sz w:val="15"/>
                <w:szCs w:val="15"/>
                <w:lang w:eastAsia="zh-CN"/>
              </w:rPr>
              <w:t>乳腺</w:t>
            </w:r>
            <w:r>
              <w:rPr>
                <w:rFonts w:hint="eastAsia" w:ascii="方正书宋_GBK" w:eastAsia="方正书宋_GBK" w:cs="Times New Roman"/>
                <w:sz w:val="15"/>
                <w:szCs w:val="15"/>
                <w:lang w:val="en-US" w:eastAsia="zh-CN"/>
              </w:rPr>
              <w:t>X光机</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320</w:t>
            </w: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320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ascii="方正书宋_GBK" w:eastAsia="方正书宋_GBK" w:cs="Times New Roman"/>
                <w:sz w:val="15"/>
                <w:szCs w:val="15"/>
              </w:rPr>
            </w:pPr>
            <w:r>
              <w:rPr>
                <w:rFonts w:hint="eastAsia" w:ascii="方正书宋_GBK" w:eastAsia="方正书宋_GBK" w:cs="Times New Roman"/>
                <w:sz w:val="15"/>
                <w:szCs w:val="15"/>
                <w:lang w:eastAsia="zh-CN"/>
              </w:rPr>
              <w:t>肿瘤专科建设项目资金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860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高清电子胃肠镜</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310</w:t>
            </w: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310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ascii="方正书宋_GBK" w:eastAsia="方正书宋_GBK" w:cs="Times New Roman"/>
                <w:sz w:val="15"/>
                <w:szCs w:val="15"/>
              </w:rPr>
            </w:pPr>
            <w:r>
              <w:rPr>
                <w:rFonts w:hint="eastAsia" w:ascii="方正书宋_GBK" w:eastAsia="方正书宋_GBK" w:cs="Times New Roman"/>
                <w:sz w:val="15"/>
                <w:szCs w:val="15"/>
                <w:lang w:eastAsia="zh-CN"/>
              </w:rPr>
              <w:t>肿瘤专科建设项目资金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860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十二指肠镜</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230</w:t>
            </w: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230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200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 xml:space="preserve">      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医疗设备购置资金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260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血液辐照仪</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260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260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200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医院设备购置资金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530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自动发药机</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ascii="方正书宋_GBK" w:eastAsia="方正书宋_GBK" w:cs="Times New Roman"/>
                <w:sz w:val="15"/>
                <w:szCs w:val="15"/>
              </w:rPr>
            </w:pPr>
            <w:r>
              <w:rPr>
                <w:rFonts w:hint="eastAsia" w:ascii="方正书宋_GBK" w:eastAsia="方正书宋_GBK" w:cs="Times New Roman"/>
                <w:sz w:val="15"/>
                <w:szCs w:val="15"/>
                <w:lang w:eastAsia="zh-CN"/>
              </w:rPr>
              <w:t>医院设备购置资金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530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超声乳化仪</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80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80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92" w:hRule="atLeast"/>
        </w:trPr>
        <w:tc>
          <w:tcPr>
            <w:tcW w:w="1915"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医院设备购置资金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530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手术显微镜</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医院设备购置资金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530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超声骨刀</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60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60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915"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医院设备购置资金</w:t>
            </w:r>
          </w:p>
        </w:tc>
        <w:tc>
          <w:tcPr>
            <w:tcW w:w="1012" w:type="dxa"/>
            <w:shd w:val="clear" w:color="auto" w:fill="auto"/>
            <w:vAlign w:val="center"/>
          </w:tcPr>
          <w:p>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530</w:t>
            </w:r>
          </w:p>
        </w:tc>
        <w:tc>
          <w:tcPr>
            <w:tcW w:w="1531" w:type="dxa"/>
            <w:shd w:val="clear" w:color="auto" w:fill="auto"/>
            <w:vAlign w:val="center"/>
          </w:tcPr>
          <w:p>
            <w:pPr>
              <w:spacing w:line="300" w:lineRule="exact"/>
              <w:jc w:val="left"/>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钬激光治疗仪</w:t>
            </w:r>
          </w:p>
        </w:tc>
        <w:tc>
          <w:tcPr>
            <w:tcW w:w="1531" w:type="dxa"/>
            <w:shd w:val="clear" w:color="auto" w:fill="auto"/>
            <w:vAlign w:val="center"/>
          </w:tcPr>
          <w:p>
            <w:pPr>
              <w:spacing w:line="300" w:lineRule="exact"/>
              <w:jc w:val="left"/>
              <w:rPr>
                <w:rFonts w:ascii="方正书宋_GBK" w:eastAsia="方正书宋_GBK" w:cs="Times New Roman"/>
              </w:rPr>
            </w:pPr>
          </w:p>
        </w:tc>
        <w:tc>
          <w:tcPr>
            <w:tcW w:w="709" w:type="dxa"/>
            <w:shd w:val="clear" w:color="auto" w:fill="auto"/>
            <w:vAlign w:val="center"/>
          </w:tcPr>
          <w:p>
            <w:pPr>
              <w:spacing w:line="300" w:lineRule="exact"/>
              <w:jc w:val="center"/>
              <w:rPr>
                <w:rFonts w:hint="eastAsia" w:ascii="方正书宋_GBK" w:eastAsia="方正书宋_GBK" w:cs="Times New Roman"/>
                <w:sz w:val="15"/>
                <w:szCs w:val="15"/>
                <w:lang w:eastAsia="zh-CN"/>
              </w:rPr>
            </w:pPr>
            <w:r>
              <w:rPr>
                <w:rFonts w:hint="eastAsia" w:ascii="方正书宋_GBK" w:eastAsia="方正书宋_GBK" w:cs="Times New Roman"/>
                <w:sz w:val="15"/>
                <w:szCs w:val="15"/>
                <w:lang w:eastAsia="zh-CN"/>
              </w:rPr>
              <w:t>台</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1</w:t>
            </w:r>
          </w:p>
        </w:tc>
        <w:tc>
          <w:tcPr>
            <w:tcW w:w="907"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60</w:t>
            </w: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60</w:t>
            </w: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ascii="方正书宋_GBK" w:eastAsia="方正书宋_GBK" w:cs="Times New Roman"/>
              </w:rPr>
            </w:pPr>
          </w:p>
        </w:tc>
        <w:tc>
          <w:tcPr>
            <w:tcW w:w="1134" w:type="dxa"/>
            <w:shd w:val="clear" w:color="auto" w:fill="auto"/>
            <w:vAlign w:val="center"/>
          </w:tcPr>
          <w:p>
            <w:pPr>
              <w:spacing w:line="300" w:lineRule="exact"/>
              <w:jc w:val="right"/>
              <w:rPr>
                <w:rFonts w:hint="eastAsia" w:ascii="方正书宋_GBK" w:eastAsia="方正书宋_GBK" w:cs="Times New Roman"/>
                <w:lang w:val="en-US" w:eastAsia="zh-CN"/>
              </w:rPr>
            </w:pPr>
            <w:r>
              <w:rPr>
                <w:rFonts w:hint="eastAsia" w:ascii="方正书宋_GBK" w:eastAsia="方正书宋_GBK" w:cs="Times New Roman"/>
                <w:lang w:val="en-US" w:eastAsia="zh-CN"/>
              </w:rPr>
              <w:t>60</w:t>
            </w:r>
          </w:p>
        </w:tc>
      </w:tr>
    </w:tbl>
    <w:p>
      <w:pPr>
        <w:jc w:val="center"/>
        <w:outlineLvl w:val="1"/>
        <w:rPr>
          <w:rFonts w:ascii="Times New Roman" w:hAnsi="Times New Roman" w:cs="Times New Roman"/>
          <w:sz w:val="32"/>
        </w:rPr>
      </w:pPr>
      <w:r>
        <w:rPr>
          <w:rFonts w:hint="eastAsia" w:ascii="方正小标宋_GBK" w:eastAsia="方正小标宋_GBK" w:cs="Times New Roman"/>
          <w:sz w:val="32"/>
        </w:rPr>
        <w:t>部门政府采购预算</w:t>
      </w:r>
      <w:bookmarkEnd w:id="9"/>
    </w:p>
    <w:p>
      <w:pPr>
        <w:spacing w:line="584" w:lineRule="exact"/>
        <w:jc w:val="left"/>
        <w:outlineLvl w:val="0"/>
        <w:rPr>
          <w:rFonts w:hint="eastAsia" w:ascii="Times New Roman" w:hAnsi="Times New Roman" w:eastAsia="仿宋_GB2312" w:cs="Times New Roman"/>
          <w:lang w:val="en-US" w:eastAsia="zh-CN"/>
        </w:rPr>
        <w:sectPr>
          <w:footerReference r:id="rId4" w:type="default"/>
          <w:pgSz w:w="16839" w:h="11907" w:orient="landscape"/>
          <w:pgMar w:top="1361" w:right="1020" w:bottom="1361" w:left="1020" w:header="851" w:footer="992" w:gutter="0"/>
          <w:pgNumType w:fmt="decimal"/>
          <w:cols w:space="720" w:num="1"/>
          <w:docGrid w:type="lines" w:linePitch="312" w:charSpace="0"/>
        </w:sectPr>
      </w:pPr>
      <w:r>
        <w:rPr>
          <w:rFonts w:hint="eastAsia" w:ascii="Times New Roman" w:hAnsi="Times New Roman" w:eastAsia="仿宋_GB2312" w:cs="Times New Roman"/>
          <w:lang w:val="en-US" w:eastAsia="zh-CN"/>
        </w:rPr>
        <w:t>80</w:t>
      </w: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七、国有资产信息</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廊坊市</w:t>
      </w:r>
      <w:r>
        <w:rPr>
          <w:rFonts w:hint="eastAsia" w:ascii="Times New Roman" w:hAnsi="Times New Roman" w:eastAsia="仿宋_GB2312" w:cs="Times New Roman"/>
          <w:sz w:val="32"/>
          <w:szCs w:val="32"/>
          <w:lang w:eastAsia="zh-CN"/>
        </w:rPr>
        <w:t>中医医院</w:t>
      </w:r>
      <w:r>
        <w:rPr>
          <w:rFonts w:ascii="Times New Roman" w:hAnsi="Times New Roman" w:eastAsia="仿宋_GB2312" w:cs="Times New Roman"/>
          <w:sz w:val="32"/>
          <w:szCs w:val="32"/>
        </w:rPr>
        <w:t>上年末固定资产金额为</w:t>
      </w:r>
      <w:r>
        <w:rPr>
          <w:rFonts w:hint="eastAsia" w:ascii="Times New Roman" w:hAnsi="Times New Roman" w:eastAsia="仿宋_GB2312" w:cs="Times New Roman"/>
          <w:sz w:val="32"/>
          <w:szCs w:val="32"/>
          <w:lang w:val="en-US" w:eastAsia="zh-CN"/>
        </w:rPr>
        <w:t>27244.61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，本年度我部门拟购置固定资产</w:t>
      </w:r>
      <w:r>
        <w:rPr>
          <w:rFonts w:hint="eastAsia" w:ascii="Times New Roman" w:hAnsi="Times New Roman" w:eastAsia="仿宋_GB2312" w:cs="Times New Roman"/>
          <w:sz w:val="32"/>
          <w:szCs w:val="32"/>
        </w:rPr>
        <w:t>总额为</w:t>
      </w:r>
      <w:r>
        <w:rPr>
          <w:rFonts w:hint="eastAsia" w:ascii="Times New Roman" w:hAnsi="Times New Roman" w:eastAsia="仿宋_GB2312" w:cs="Times New Roman"/>
          <w:sz w:val="32"/>
          <w:szCs w:val="32"/>
          <w:lang w:val="en-US" w:eastAsia="zh-CN"/>
        </w:rPr>
        <w:t>1765</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主要为</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医疗专用设备、房屋修缮等项目）</w:t>
      </w:r>
      <w:r>
        <w:rPr>
          <w:rFonts w:ascii="Times New Roman" w:hAnsi="Times New Roman" w:eastAsia="仿宋_GB2312" w:cs="Times New Roman"/>
          <w:sz w:val="32"/>
          <w:szCs w:val="32"/>
        </w:rPr>
        <w:t>已列入政府采购预算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详见</w:t>
      </w:r>
      <w:r>
        <w:rPr>
          <w:rFonts w:hint="eastAsia" w:ascii="Times New Roman" w:hAnsi="Times New Roman" w:eastAsia="仿宋_GB2312" w:cs="Times New Roman"/>
          <w:sz w:val="32"/>
          <w:szCs w:val="32"/>
        </w:rPr>
        <w:t>政府采购</w:t>
      </w:r>
      <w:r>
        <w:rPr>
          <w:rFonts w:ascii="Times New Roman" w:hAnsi="Times New Roman" w:eastAsia="仿宋_GB2312" w:cs="Times New Roman"/>
          <w:sz w:val="32"/>
          <w:szCs w:val="32"/>
        </w:rPr>
        <w:t>预算表。</w:t>
      </w:r>
    </w:p>
    <w:p>
      <w:pPr>
        <w:spacing w:line="584" w:lineRule="exact"/>
        <w:ind w:firstLine="640"/>
        <w:rPr>
          <w:rFonts w:ascii="Times New Roman" w:hAnsi="Times New Roman" w:eastAsia="仿宋_GB2312" w:cs="Times New Roman"/>
          <w:sz w:val="32"/>
          <w:szCs w:val="32"/>
        </w:rPr>
      </w:pPr>
    </w:p>
    <w:tbl>
      <w:tblPr>
        <w:tblStyle w:val="4"/>
        <w:tblW w:w="13482" w:type="dxa"/>
        <w:tblInd w:w="93" w:type="dxa"/>
        <w:tblLayout w:type="fixed"/>
        <w:tblCellMar>
          <w:top w:w="0" w:type="dxa"/>
          <w:left w:w="108" w:type="dxa"/>
          <w:bottom w:w="0" w:type="dxa"/>
          <w:right w:w="108" w:type="dxa"/>
        </w:tblCellMar>
      </w:tblPr>
      <w:tblGrid>
        <w:gridCol w:w="5224"/>
        <w:gridCol w:w="3155"/>
        <w:gridCol w:w="5103"/>
      </w:tblGrid>
      <w:tr>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pPr>
              <w:widowControl/>
              <w:spacing w:line="584" w:lineRule="exact"/>
              <w:ind w:firstLine="3855" w:firstLineChars="1200"/>
              <w:jc w:val="both"/>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廊坊市市直部门固定资产占用情况表</w:t>
            </w:r>
          </w:p>
        </w:tc>
      </w:tr>
      <w:tr>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pPr>
              <w:widowControl/>
              <w:spacing w:line="584" w:lineRule="exact"/>
              <w:jc w:val="left"/>
              <w:rPr>
                <w:rFonts w:hint="eastAsia" w:ascii="Times New Roman" w:hAnsi="Times New Roman" w:eastAsia="仿宋_GB2312" w:cs="Times New Roman"/>
                <w:kern w:val="0"/>
                <w:sz w:val="22"/>
                <w:lang w:eastAsia="zh-CN"/>
              </w:rPr>
            </w:pPr>
            <w:r>
              <w:rPr>
                <w:rFonts w:ascii="Times New Roman" w:hAnsi="Times New Roman" w:eastAsia="仿宋_GB2312" w:cs="Times New Roman"/>
                <w:kern w:val="0"/>
                <w:sz w:val="22"/>
              </w:rPr>
              <w:t>编制部门：廊坊市</w:t>
            </w:r>
            <w:r>
              <w:rPr>
                <w:rFonts w:hint="eastAsia" w:ascii="Times New Roman" w:hAnsi="Times New Roman" w:eastAsia="仿宋_GB2312" w:cs="Times New Roman"/>
                <w:kern w:val="0"/>
                <w:sz w:val="22"/>
                <w:lang w:eastAsia="zh-CN"/>
              </w:rPr>
              <w:t>中医医院</w:t>
            </w:r>
          </w:p>
        </w:tc>
        <w:tc>
          <w:tcPr>
            <w:tcW w:w="5103" w:type="dxa"/>
            <w:tcBorders>
              <w:top w:val="nil"/>
              <w:left w:val="nil"/>
              <w:bottom w:val="nil"/>
              <w:right w:val="nil"/>
            </w:tcBorders>
            <w:shd w:val="clear" w:color="auto" w:fill="auto"/>
            <w:noWrap/>
            <w:vAlign w:val="center"/>
          </w:tcPr>
          <w:p>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20</w:t>
            </w:r>
            <w:r>
              <w:rPr>
                <w:rFonts w:ascii="Times New Roman" w:hAnsi="Times New Roman" w:eastAsia="仿宋_GB2312" w:cs="Times New Roman"/>
                <w:kern w:val="0"/>
                <w:sz w:val="22"/>
              </w:rPr>
              <w:t xml:space="preserve">年12月31日  </w:t>
            </w:r>
          </w:p>
        </w:tc>
      </w:tr>
      <w:tr>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27244.61</w:t>
            </w: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15129.17</w:t>
            </w: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rPr>
            </w:pPr>
            <w:r>
              <w:rPr>
                <w:rFonts w:hint="eastAsia" w:ascii="Times New Roman" w:hAnsi="Times New Roman" w:eastAsia="仿宋_GB2312" w:cs="Times New Roman"/>
                <w:sz w:val="22"/>
                <w:lang w:val="en-US" w:eastAsia="zh-CN"/>
              </w:rPr>
              <w:t>14115.61</w:t>
            </w:r>
          </w:p>
        </w:tc>
      </w:tr>
      <w:tr>
        <w:tblPrEx>
          <w:tblCellMar>
            <w:top w:w="0" w:type="dxa"/>
            <w:left w:w="108" w:type="dxa"/>
            <w:bottom w:w="0" w:type="dxa"/>
            <w:right w:w="108" w:type="dxa"/>
          </w:tblCellMar>
        </w:tblPrEx>
        <w:trPr>
          <w:trHeight w:val="48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1835.68</w:t>
            </w: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1426.22</w:t>
            </w:r>
          </w:p>
        </w:tc>
      </w:tr>
      <w:tr>
        <w:tblPrEx>
          <w:tblCellMar>
            <w:top w:w="0" w:type="dxa"/>
            <w:left w:w="108" w:type="dxa"/>
            <w:bottom w:w="0" w:type="dxa"/>
            <w:right w:w="108" w:type="dxa"/>
          </w:tblCellMar>
        </w:tblPrEx>
        <w:trPr>
          <w:trHeight w:val="48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6</w:t>
            </w: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142.55</w:t>
            </w:r>
          </w:p>
        </w:tc>
      </w:tr>
      <w:tr>
        <w:tblPrEx>
          <w:tblCellMar>
            <w:top w:w="0" w:type="dxa"/>
            <w:left w:w="108" w:type="dxa"/>
            <w:bottom w:w="0" w:type="dxa"/>
            <w:right w:w="108" w:type="dxa"/>
          </w:tblCellMar>
        </w:tblPrEx>
        <w:trPr>
          <w:trHeight w:val="48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64</w:t>
            </w: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8072</w:t>
            </w:r>
          </w:p>
        </w:tc>
      </w:tr>
      <w:tr>
        <w:tblPrEx>
          <w:tblCellMar>
            <w:top w:w="0" w:type="dxa"/>
            <w:left w:w="108" w:type="dxa"/>
            <w:bottom w:w="0" w:type="dxa"/>
            <w:right w:w="108" w:type="dxa"/>
          </w:tblCellMar>
        </w:tblPrEx>
        <w:trPr>
          <w:trHeight w:val="47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4914.45</w:t>
            </w:r>
          </w:p>
          <w:p>
            <w:pPr>
              <w:spacing w:line="584" w:lineRule="exact"/>
              <w:jc w:val="center"/>
              <w:rPr>
                <w:rFonts w:hint="default" w:ascii="Times New Roman" w:hAnsi="Times New Roman" w:eastAsia="仿宋_GB2312" w:cs="Times New Roman"/>
                <w:sz w:val="22"/>
                <w:lang w:val="en-US" w:eastAsia="zh-CN"/>
              </w:rPr>
            </w:pPr>
          </w:p>
        </w:tc>
      </w:tr>
    </w:tbl>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八、名词解释</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指省级财政当年拨付的资金。</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九、其他需要说明的事项</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p/>
    <w:sectPr>
      <w:pgSz w:w="16838" w:h="11906" w:orient="landscape"/>
      <w:pgMar w:top="1800" w:right="1440" w:bottom="1800" w:left="1440"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宋体"/>
    <w:panose1 w:val="00000000000000000000"/>
    <w:charset w:val="86"/>
    <w:family w:val="script"/>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pPr>
                          <w:r>
                            <w:rPr>
                              <w:rFonts w:hint="eastAsia"/>
                            </w:rPr>
                            <w:t>-</w:t>
                          </w:r>
                          <w:r>
                            <w:fldChar w:fldCharType="begin"/>
                          </w:r>
                          <w:r>
                            <w:instrText xml:space="preserve">PAGE   \* MERGEFORMAT</w:instrText>
                          </w:r>
                          <w:r>
                            <w:fldChar w:fldCharType="separate"/>
                          </w:r>
                          <w:r>
                            <w:rPr>
                              <w:lang w:val="zh-CN"/>
                            </w:rPr>
                            <w:t>4</w:t>
                          </w:r>
                          <w:r>
                            <w:rPr>
                              <w:lang w:val="zh-CN"/>
                            </w:rPr>
                            <w:fldChar w:fldCharType="end"/>
                          </w:r>
                          <w:r>
                            <w:rPr>
                              <w:rFonts w:hint="eastAsia"/>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jc w:val="center"/>
                    </w:pPr>
                    <w:r>
                      <w:rPr>
                        <w:rFonts w:hint="eastAsia"/>
                      </w:rPr>
                      <w:t>-</w:t>
                    </w:r>
                    <w:r>
                      <w:fldChar w:fldCharType="begin"/>
                    </w:r>
                    <w:r>
                      <w:instrText xml:space="preserve">PAGE   \* MERGEFORMAT</w:instrText>
                    </w:r>
                    <w:r>
                      <w:fldChar w:fldCharType="separate"/>
                    </w:r>
                    <w:r>
                      <w:rPr>
                        <w:lang w:val="zh-CN"/>
                      </w:rPr>
                      <w:t>4</w:t>
                    </w:r>
                    <w:r>
                      <w:rPr>
                        <w:lang w:val="zh-CN"/>
                      </w:rPr>
                      <w:fldChar w:fldCharType="end"/>
                    </w:r>
                    <w:r>
                      <w:rPr>
                        <w:rFonts w:hint="eastAsia"/>
                      </w:rPr>
                      <w:t>-</w:t>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AB479D"/>
    <w:multiLevelType w:val="singleLevel"/>
    <w:tmpl w:val="9FAB479D"/>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DdjMzZmNTZkYmIyZjZiODgyYjllN2Q1ZDhlODUifQ=="/>
  </w:docVars>
  <w:rsids>
    <w:rsidRoot w:val="00000000"/>
    <w:rsid w:val="00A414D1"/>
    <w:rsid w:val="012A65F1"/>
    <w:rsid w:val="027A0D11"/>
    <w:rsid w:val="03362040"/>
    <w:rsid w:val="07AB64F3"/>
    <w:rsid w:val="07F90547"/>
    <w:rsid w:val="09745525"/>
    <w:rsid w:val="09D71A99"/>
    <w:rsid w:val="09DD1F64"/>
    <w:rsid w:val="0B6103D8"/>
    <w:rsid w:val="0B6544CF"/>
    <w:rsid w:val="0B880653"/>
    <w:rsid w:val="0C2B59C3"/>
    <w:rsid w:val="0CAA2E62"/>
    <w:rsid w:val="0CF274ED"/>
    <w:rsid w:val="0EA44AD9"/>
    <w:rsid w:val="10757204"/>
    <w:rsid w:val="11960B76"/>
    <w:rsid w:val="11C772B3"/>
    <w:rsid w:val="13A34C10"/>
    <w:rsid w:val="160D74B9"/>
    <w:rsid w:val="16C27F9F"/>
    <w:rsid w:val="1874522A"/>
    <w:rsid w:val="18A56651"/>
    <w:rsid w:val="18C540E3"/>
    <w:rsid w:val="19BF2371"/>
    <w:rsid w:val="1BFE7600"/>
    <w:rsid w:val="1D3A1CC2"/>
    <w:rsid w:val="1FE511C9"/>
    <w:rsid w:val="20E85E1B"/>
    <w:rsid w:val="22232F32"/>
    <w:rsid w:val="253359A3"/>
    <w:rsid w:val="25D72578"/>
    <w:rsid w:val="25FE2C0A"/>
    <w:rsid w:val="27AB59AB"/>
    <w:rsid w:val="28B94034"/>
    <w:rsid w:val="28CE5824"/>
    <w:rsid w:val="294F6BCC"/>
    <w:rsid w:val="298F36A3"/>
    <w:rsid w:val="2B224F16"/>
    <w:rsid w:val="2C351E0C"/>
    <w:rsid w:val="2D676BC1"/>
    <w:rsid w:val="2DEC6E38"/>
    <w:rsid w:val="2ED62651"/>
    <w:rsid w:val="2F8A3BD6"/>
    <w:rsid w:val="2FE754AF"/>
    <w:rsid w:val="308B2480"/>
    <w:rsid w:val="309331AE"/>
    <w:rsid w:val="33592387"/>
    <w:rsid w:val="33F71ED9"/>
    <w:rsid w:val="349823C8"/>
    <w:rsid w:val="34DD7047"/>
    <w:rsid w:val="352A0A19"/>
    <w:rsid w:val="35940A02"/>
    <w:rsid w:val="35C17870"/>
    <w:rsid w:val="37CD37F1"/>
    <w:rsid w:val="39184CC4"/>
    <w:rsid w:val="39E37DDC"/>
    <w:rsid w:val="3B3C02D2"/>
    <w:rsid w:val="3B6B6E9F"/>
    <w:rsid w:val="3B8C04E7"/>
    <w:rsid w:val="3EE05280"/>
    <w:rsid w:val="40641BB4"/>
    <w:rsid w:val="41741D02"/>
    <w:rsid w:val="420F6DC6"/>
    <w:rsid w:val="422A6C2F"/>
    <w:rsid w:val="42595ED0"/>
    <w:rsid w:val="42727050"/>
    <w:rsid w:val="42DC1910"/>
    <w:rsid w:val="45290D94"/>
    <w:rsid w:val="455909D7"/>
    <w:rsid w:val="459C27C6"/>
    <w:rsid w:val="45EA6D4D"/>
    <w:rsid w:val="48D720E1"/>
    <w:rsid w:val="4A5E7339"/>
    <w:rsid w:val="4AA12571"/>
    <w:rsid w:val="4B197B93"/>
    <w:rsid w:val="4C921F32"/>
    <w:rsid w:val="4D6C3C39"/>
    <w:rsid w:val="4DC527DE"/>
    <w:rsid w:val="4E8814EE"/>
    <w:rsid w:val="4F36449C"/>
    <w:rsid w:val="51727EDC"/>
    <w:rsid w:val="521177A3"/>
    <w:rsid w:val="52C1446E"/>
    <w:rsid w:val="54FB33A0"/>
    <w:rsid w:val="551D3522"/>
    <w:rsid w:val="552476D3"/>
    <w:rsid w:val="573279B5"/>
    <w:rsid w:val="57B77640"/>
    <w:rsid w:val="58291D6A"/>
    <w:rsid w:val="58491DCD"/>
    <w:rsid w:val="5A3119C0"/>
    <w:rsid w:val="5ADC7395"/>
    <w:rsid w:val="5C7C29F1"/>
    <w:rsid w:val="5D8624AE"/>
    <w:rsid w:val="5E8D07F4"/>
    <w:rsid w:val="5F2F48B6"/>
    <w:rsid w:val="60D66187"/>
    <w:rsid w:val="615A4EEC"/>
    <w:rsid w:val="617B6D6F"/>
    <w:rsid w:val="640D19C6"/>
    <w:rsid w:val="683450CB"/>
    <w:rsid w:val="6845253F"/>
    <w:rsid w:val="689470D1"/>
    <w:rsid w:val="69252D1C"/>
    <w:rsid w:val="694F6F17"/>
    <w:rsid w:val="69BD040A"/>
    <w:rsid w:val="6A775BC2"/>
    <w:rsid w:val="6B5952C0"/>
    <w:rsid w:val="6B9774FA"/>
    <w:rsid w:val="6FAF7A60"/>
    <w:rsid w:val="719106A5"/>
    <w:rsid w:val="71C303F7"/>
    <w:rsid w:val="722D0C74"/>
    <w:rsid w:val="72C95874"/>
    <w:rsid w:val="738B1915"/>
    <w:rsid w:val="74165C62"/>
    <w:rsid w:val="777C2744"/>
    <w:rsid w:val="79BF3E8D"/>
    <w:rsid w:val="79FE5CCF"/>
    <w:rsid w:val="7A8F77C6"/>
    <w:rsid w:val="7D034314"/>
    <w:rsid w:val="7D97047B"/>
    <w:rsid w:val="7DDA018D"/>
    <w:rsid w:val="7E4A3EA9"/>
    <w:rsid w:val="7E962D43"/>
    <w:rsid w:val="7F470C13"/>
    <w:rsid w:val="7F9269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5944</Words>
  <Characters>6404</Characters>
  <Lines>0</Lines>
  <Paragraphs>0</Paragraphs>
  <TotalTime>16</TotalTime>
  <ScaleCrop>false</ScaleCrop>
  <LinksUpToDate>false</LinksUpToDate>
  <CharactersWithSpaces>6451</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IloVeThisGame</cp:lastModifiedBy>
  <cp:lastPrinted>2021-03-10T06:33:00Z</cp:lastPrinted>
  <dcterms:modified xsi:type="dcterms:W3CDTF">2021-03-04T10:34:46Z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B75444A4D0274B9BAAC4C627B754C697</vt:lpwstr>
  </property>
</Properties>
</file>